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6AF9B" w14:textId="6E6075EC" w:rsidR="00707B32" w:rsidRPr="00707B32" w:rsidRDefault="00707B32">
      <w:pPr>
        <w:rPr>
          <w:b/>
          <w:sz w:val="28"/>
          <w:szCs w:val="28"/>
        </w:rPr>
      </w:pPr>
      <w:r w:rsidRPr="00707B32">
        <w:rPr>
          <w:b/>
          <w:sz w:val="28"/>
          <w:szCs w:val="28"/>
        </w:rPr>
        <w:t xml:space="preserve">The NASA Airborne Tropical </w:t>
      </w:r>
      <w:proofErr w:type="spellStart"/>
      <w:r w:rsidRPr="00707B32">
        <w:rPr>
          <w:b/>
          <w:sz w:val="28"/>
          <w:szCs w:val="28"/>
        </w:rPr>
        <w:t>TRopopause</w:t>
      </w:r>
      <w:proofErr w:type="spellEnd"/>
      <w:r w:rsidRPr="00707B32">
        <w:rPr>
          <w:b/>
          <w:sz w:val="28"/>
          <w:szCs w:val="28"/>
        </w:rPr>
        <w:t xml:space="preserve"> </w:t>
      </w:r>
      <w:proofErr w:type="spellStart"/>
      <w:r w:rsidRPr="00707B32">
        <w:rPr>
          <w:b/>
          <w:sz w:val="28"/>
          <w:szCs w:val="28"/>
        </w:rPr>
        <w:t>EXperiment</w:t>
      </w:r>
      <w:proofErr w:type="spellEnd"/>
      <w:r w:rsidRPr="00707B32">
        <w:rPr>
          <w:b/>
          <w:sz w:val="28"/>
          <w:szCs w:val="28"/>
        </w:rPr>
        <w:t xml:space="preserve"> (ATTREX)</w:t>
      </w:r>
    </w:p>
    <w:p w14:paraId="1BBB9757" w14:textId="77777777" w:rsidR="00707B32" w:rsidRDefault="00707B32">
      <w:pPr>
        <w:rPr>
          <w:b/>
        </w:rPr>
      </w:pPr>
    </w:p>
    <w:p w14:paraId="38C8EA09" w14:textId="505F27F7" w:rsidR="0044076B" w:rsidRDefault="0044076B">
      <w:r>
        <w:t>Eric J. Jensen</w:t>
      </w:r>
      <w:r>
        <w:rPr>
          <w:vertAlign w:val="superscript"/>
        </w:rPr>
        <w:t>1</w:t>
      </w:r>
      <w:r>
        <w:t>, Leonhard Pfister</w:t>
      </w:r>
      <w:r>
        <w:rPr>
          <w:vertAlign w:val="superscript"/>
        </w:rPr>
        <w:t>1</w:t>
      </w:r>
      <w:r>
        <w:t>, David Jordan</w:t>
      </w:r>
      <w:r>
        <w:rPr>
          <w:vertAlign w:val="superscript"/>
        </w:rPr>
        <w:t>1</w:t>
      </w:r>
      <w:r>
        <w:t>, and many others</w:t>
      </w:r>
    </w:p>
    <w:p w14:paraId="2D41CCEB" w14:textId="77777777" w:rsidR="0044076B" w:rsidRDefault="0044076B"/>
    <w:p w14:paraId="6D8D0B57" w14:textId="0B00EDD4" w:rsidR="0044076B" w:rsidRDefault="0044076B">
      <w:r>
        <w:rPr>
          <w:vertAlign w:val="superscript"/>
        </w:rPr>
        <w:t>1</w:t>
      </w:r>
      <w:r>
        <w:t>NASA Ames Research Center, Moffett Field, CA</w:t>
      </w:r>
    </w:p>
    <w:p w14:paraId="27FF5F8A" w14:textId="77777777" w:rsidR="0044076B" w:rsidRPr="0044076B" w:rsidRDefault="0044076B"/>
    <w:p w14:paraId="3913E950" w14:textId="7B1C3B8E" w:rsidR="00B45D9E" w:rsidRPr="000D79D1" w:rsidRDefault="00B45D9E">
      <w:pPr>
        <w:rPr>
          <w:b/>
        </w:rPr>
      </w:pPr>
      <w:r w:rsidRPr="000D79D1">
        <w:rPr>
          <w:b/>
        </w:rPr>
        <w:t>Introduction</w:t>
      </w:r>
    </w:p>
    <w:p w14:paraId="4BEA6B1E" w14:textId="77777777" w:rsidR="00B45D9E" w:rsidRPr="000D79D1" w:rsidRDefault="00B45D9E"/>
    <w:p w14:paraId="75EB2115" w14:textId="5F41FBBE" w:rsidR="002013FA" w:rsidRPr="000D79D1" w:rsidRDefault="00451D84">
      <w:r w:rsidRPr="000D79D1">
        <w:t xml:space="preserve">We report here on recent airborne measurements of the tropical </w:t>
      </w:r>
      <w:proofErr w:type="spellStart"/>
      <w:r w:rsidRPr="000D79D1">
        <w:t>tropopause</w:t>
      </w:r>
      <w:proofErr w:type="spellEnd"/>
      <w:r w:rsidRPr="000D79D1">
        <w:t xml:space="preserve"> layer </w:t>
      </w:r>
      <w:r w:rsidR="00953498">
        <w:t xml:space="preserve">(TTL, ~13-19 km) </w:t>
      </w:r>
      <w:r w:rsidRPr="000D79D1">
        <w:t xml:space="preserve">provided by the NASA Airborne Tropical </w:t>
      </w:r>
      <w:proofErr w:type="spellStart"/>
      <w:r w:rsidRPr="000D79D1">
        <w:t>TRopopause</w:t>
      </w:r>
      <w:proofErr w:type="spellEnd"/>
      <w:r w:rsidRPr="000D79D1">
        <w:t xml:space="preserve"> Layer </w:t>
      </w:r>
      <w:proofErr w:type="spellStart"/>
      <w:r w:rsidRPr="000D79D1">
        <w:t>EXperiment</w:t>
      </w:r>
      <w:proofErr w:type="spellEnd"/>
      <w:r w:rsidRPr="000D79D1">
        <w:t xml:space="preserve"> (ATTREX).  AT</w:t>
      </w:r>
      <w:r w:rsidR="00D65E7F">
        <w:t>TREX is a five-</w:t>
      </w:r>
      <w:r w:rsidR="00BC14B5">
        <w:t>year</w:t>
      </w:r>
      <w:r w:rsidRPr="000D79D1">
        <w:t xml:space="preserve"> </w:t>
      </w:r>
      <w:r w:rsidR="00470F54">
        <w:t xml:space="preserve">airborne science </w:t>
      </w:r>
      <w:r w:rsidRPr="000D79D1">
        <w:t xml:space="preserve">program focused on the physical processes occurring in the </w:t>
      </w:r>
      <w:r w:rsidR="00953498">
        <w:t>TTL</w:t>
      </w:r>
      <w:r w:rsidRPr="000D79D1">
        <w:t>, which ultimately determine the composition and humidity of</w:t>
      </w:r>
      <w:r w:rsidR="00974228" w:rsidRPr="000D79D1">
        <w:t xml:space="preserve"> air entering the stratosphere.  The long-range, high-altitude Global Hawk (GH) unmanned aircraft system is equipped with twelve instruments measuring clouds</w:t>
      </w:r>
      <w:r w:rsidR="00953498">
        <w:t>,</w:t>
      </w:r>
      <w:r w:rsidR="00974228" w:rsidRPr="000D79D1">
        <w:t xml:space="preserve"> water vapor, meteorological conditions, chemical tracers, chem</w:t>
      </w:r>
      <w:r w:rsidR="00E47847" w:rsidRPr="000D79D1">
        <w:t xml:space="preserve">ical radicals, and radiation.  </w:t>
      </w:r>
      <w:r w:rsidR="00470F54">
        <w:t xml:space="preserve">The overall ATTREX project is managed by NASA Ames Research Center, and </w:t>
      </w:r>
      <w:proofErr w:type="gramStart"/>
      <w:r w:rsidR="00470F54">
        <w:t xml:space="preserve">the </w:t>
      </w:r>
      <w:r w:rsidR="00BC14B5">
        <w:t>Global Hawk program</w:t>
      </w:r>
      <w:r w:rsidR="00470F54">
        <w:t xml:space="preserve"> is managed by Dryden Flight Research Center (DFRC)</w:t>
      </w:r>
      <w:proofErr w:type="gramEnd"/>
      <w:r w:rsidR="00470F54">
        <w:t xml:space="preserve">.  </w:t>
      </w:r>
      <w:r w:rsidR="00E47847" w:rsidRPr="000D79D1">
        <w:t>To date, f</w:t>
      </w:r>
      <w:r w:rsidR="00974228" w:rsidRPr="000D79D1">
        <w:t xml:space="preserve">lights from </w:t>
      </w:r>
      <w:r w:rsidR="00470F54">
        <w:t xml:space="preserve">DFRC in southern </w:t>
      </w:r>
      <w:r w:rsidR="00974228" w:rsidRPr="000D79D1">
        <w:t>California into the deep tropics have been conducted during fall 2011 (three flights) and late winter 2013 (six flights).</w:t>
      </w:r>
      <w:r w:rsidR="00E47847" w:rsidRPr="000D79D1">
        <w:t xml:space="preserve">  Planned flights from Guam in winter and early-summer 2014 will provide extensive measurements in the western Pacific TTL.</w:t>
      </w:r>
    </w:p>
    <w:p w14:paraId="586127A0" w14:textId="77777777" w:rsidR="00974228" w:rsidRPr="000D79D1" w:rsidRDefault="00974228"/>
    <w:p w14:paraId="223A0EDA" w14:textId="1DD84697" w:rsidR="00E47847" w:rsidRDefault="00E47847" w:rsidP="00E47847">
      <w:pPr>
        <w:widowControl w:val="0"/>
        <w:autoSpaceDE w:val="0"/>
        <w:autoSpaceDN w:val="0"/>
        <w:adjustRightInd w:val="0"/>
        <w:spacing w:after="240"/>
        <w:rPr>
          <w:lang w:eastAsia="ja-JP"/>
        </w:rPr>
      </w:pPr>
      <w:proofErr w:type="spellStart"/>
      <w:r w:rsidRPr="000D79D1">
        <w:rPr>
          <w:lang w:eastAsia="ja-JP"/>
        </w:rPr>
        <w:t>Radiative</w:t>
      </w:r>
      <w:proofErr w:type="spellEnd"/>
      <w:r w:rsidRPr="000D79D1">
        <w:rPr>
          <w:lang w:eastAsia="ja-JP"/>
        </w:rPr>
        <w:t xml:space="preserve"> transfer calculations show that even small changes in stratospheric humidity may have climate impacts that are significant compared to those of decadal increases in greenhouse gases</w:t>
      </w:r>
      <w:r w:rsidR="00470F54">
        <w:rPr>
          <w:lang w:eastAsia="ja-JP"/>
        </w:rPr>
        <w:t xml:space="preserve"> (Forster and Shine, 2002; Solomon </w:t>
      </w:r>
      <w:r w:rsidR="00470F54" w:rsidRPr="00470F54">
        <w:rPr>
          <w:i/>
          <w:lang w:eastAsia="ja-JP"/>
        </w:rPr>
        <w:t>et al</w:t>
      </w:r>
      <w:r w:rsidR="00470F54">
        <w:rPr>
          <w:lang w:eastAsia="ja-JP"/>
        </w:rPr>
        <w:t>., 2009)</w:t>
      </w:r>
      <w:r w:rsidRPr="000D79D1">
        <w:rPr>
          <w:lang w:eastAsia="ja-JP"/>
        </w:rPr>
        <w:t xml:space="preserve">.  </w:t>
      </w:r>
      <w:r w:rsidR="00974228" w:rsidRPr="000D79D1">
        <w:rPr>
          <w:lang w:eastAsia="ja-JP"/>
        </w:rPr>
        <w:t>Future changes in stratospheric humidity and ozone concentration in response to changing climate are significant climate feedbacks. While the tropospheric water vapor climate feedback is well represented in global models, predictions of future changes in stratospheric humidity are highly uncertain because of gaps in our understanding of physical processes occurring in the T</w:t>
      </w:r>
      <w:r w:rsidRPr="000D79D1">
        <w:rPr>
          <w:lang w:eastAsia="ja-JP"/>
        </w:rPr>
        <w:t xml:space="preserve">TL.  </w:t>
      </w:r>
      <w:r w:rsidR="00D65E7F">
        <w:rPr>
          <w:lang w:eastAsia="ja-JP"/>
        </w:rPr>
        <w:t>The composition and humidity of the TTL are controlled by a complex interplay between slow, large-scale transport, rapid convective transport, atmospheric waves, cloud processes</w:t>
      </w:r>
      <w:r w:rsidR="00470F54">
        <w:rPr>
          <w:lang w:eastAsia="ja-JP"/>
        </w:rPr>
        <w:t>,</w:t>
      </w:r>
      <w:r w:rsidR="00D65E7F">
        <w:rPr>
          <w:lang w:eastAsia="ja-JP"/>
        </w:rPr>
        <w:t xml:space="preserve"> and </w:t>
      </w:r>
      <w:proofErr w:type="spellStart"/>
      <w:r w:rsidR="00D65E7F">
        <w:rPr>
          <w:lang w:eastAsia="ja-JP"/>
        </w:rPr>
        <w:t>radiative</w:t>
      </w:r>
      <w:proofErr w:type="spellEnd"/>
      <w:r w:rsidR="00D65E7F">
        <w:rPr>
          <w:lang w:eastAsia="ja-JP"/>
        </w:rPr>
        <w:t xml:space="preserve"> heating (see Figure 1).  </w:t>
      </w:r>
      <w:r w:rsidRPr="000D79D1">
        <w:rPr>
          <w:lang w:eastAsia="ja-JP"/>
        </w:rPr>
        <w:t>Observations of the TTL composition are sparse in comparison to other climatically important parts of the atmosphere, partly because the high altitude of the TTL limits sampling with aircraft. Furthermore, the utility of satellite measurements of TTL composition is reduced by the characteristically strong vertical gradients in the TTL.</w:t>
      </w:r>
    </w:p>
    <w:p w14:paraId="0598DA5F" w14:textId="139E56A4" w:rsidR="00707B32" w:rsidRPr="000D79D1" w:rsidRDefault="00707B32" w:rsidP="00E47847">
      <w:pPr>
        <w:widowControl w:val="0"/>
        <w:autoSpaceDE w:val="0"/>
        <w:autoSpaceDN w:val="0"/>
        <w:adjustRightInd w:val="0"/>
        <w:spacing w:after="240"/>
        <w:rPr>
          <w:lang w:eastAsia="ja-JP"/>
        </w:rPr>
      </w:pPr>
      <w:r w:rsidRPr="00707B32">
        <w:rPr>
          <w:noProof/>
        </w:rPr>
        <w:lastRenderedPageBreak/>
        <w:drawing>
          <wp:inline distT="0" distB="0" distL="0" distR="0" wp14:anchorId="3C6E8A26" wp14:editId="77B6B2F6">
            <wp:extent cx="4800600" cy="3643313"/>
            <wp:effectExtent l="0" t="0" r="0" b="0"/>
            <wp:docPr id="16398" name="Picture 14" descr="ttl_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 name="Picture 14" descr="ttl_process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0600" cy="36433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DB2FB2" w14:textId="454778EB" w:rsidR="00707B32" w:rsidRPr="00707B32" w:rsidRDefault="00707B32" w:rsidP="000D79D1">
      <w:pPr>
        <w:widowControl w:val="0"/>
        <w:autoSpaceDE w:val="0"/>
        <w:autoSpaceDN w:val="0"/>
        <w:adjustRightInd w:val="0"/>
        <w:spacing w:after="240"/>
        <w:rPr>
          <w:lang w:eastAsia="ja-JP"/>
        </w:rPr>
      </w:pPr>
      <w:r>
        <w:rPr>
          <w:b/>
          <w:lang w:eastAsia="ja-JP"/>
        </w:rPr>
        <w:t>Figure 1.</w:t>
      </w:r>
      <w:r>
        <w:rPr>
          <w:lang w:eastAsia="ja-JP"/>
        </w:rPr>
        <w:t xml:space="preserve"> Cartoon showing TTL physical processes, including large-scale transport, detrainment from deep convection, gravity waves, thin cirrus, and </w:t>
      </w:r>
      <w:proofErr w:type="spellStart"/>
      <w:r>
        <w:rPr>
          <w:lang w:eastAsia="ja-JP"/>
        </w:rPr>
        <w:t>radiative</w:t>
      </w:r>
      <w:proofErr w:type="spellEnd"/>
      <w:r>
        <w:rPr>
          <w:lang w:eastAsia="ja-JP"/>
        </w:rPr>
        <w:t xml:space="preserve"> heating.</w:t>
      </w:r>
    </w:p>
    <w:p w14:paraId="04C45CD8" w14:textId="2BC628F3" w:rsidR="000D79D1" w:rsidRPr="000D79D1" w:rsidRDefault="000D79D1" w:rsidP="00E47847">
      <w:pPr>
        <w:widowControl w:val="0"/>
        <w:autoSpaceDE w:val="0"/>
        <w:autoSpaceDN w:val="0"/>
        <w:adjustRightInd w:val="0"/>
        <w:spacing w:after="240"/>
        <w:rPr>
          <w:lang w:eastAsia="ja-JP"/>
        </w:rPr>
      </w:pPr>
      <w:r w:rsidRPr="000D79D1">
        <w:rPr>
          <w:lang w:eastAsia="ja-JP"/>
        </w:rPr>
        <w:t xml:space="preserve">The overarching goals of ATTREX are (1) </w:t>
      </w:r>
      <w:r>
        <w:rPr>
          <w:lang w:eastAsia="ja-JP"/>
        </w:rPr>
        <w:t>t</w:t>
      </w:r>
      <w:r w:rsidRPr="000D79D1">
        <w:rPr>
          <w:lang w:eastAsia="ja-JP"/>
        </w:rPr>
        <w:t xml:space="preserve">o improve our understanding of how deep convection, slow large-scale ascent, waves, and cloud </w:t>
      </w:r>
      <w:proofErr w:type="spellStart"/>
      <w:r w:rsidRPr="000D79D1">
        <w:rPr>
          <w:lang w:eastAsia="ja-JP"/>
        </w:rPr>
        <w:t>microphyiscs</w:t>
      </w:r>
      <w:proofErr w:type="spellEnd"/>
      <w:r w:rsidRPr="000D79D1">
        <w:rPr>
          <w:lang w:eastAsia="ja-JP"/>
        </w:rPr>
        <w:t xml:space="preserve"> control the humidity and chemical composition o</w:t>
      </w:r>
      <w:r>
        <w:rPr>
          <w:lang w:eastAsia="ja-JP"/>
        </w:rPr>
        <w:t>f air entering the stratosphere, and (</w:t>
      </w:r>
      <w:r w:rsidRPr="000D79D1">
        <w:rPr>
          <w:lang w:eastAsia="ja-JP"/>
        </w:rPr>
        <w:t xml:space="preserve">2) </w:t>
      </w:r>
      <w:r>
        <w:rPr>
          <w:lang w:eastAsia="ja-JP"/>
        </w:rPr>
        <w:t>t</w:t>
      </w:r>
      <w:r w:rsidRPr="000D79D1">
        <w:rPr>
          <w:lang w:eastAsia="ja-JP"/>
        </w:rPr>
        <w:t>o improve global-model predictions of feedbacks associated with future changes in TTL cirrus, stratospheric humidity, and stratospheric ozone in a changing climate.</w:t>
      </w:r>
      <w:r>
        <w:rPr>
          <w:lang w:eastAsia="ja-JP"/>
        </w:rPr>
        <w:t xml:space="preserve">  ATTREX is providing an unprecedented dataset of high spatial-resolution </w:t>
      </w:r>
      <w:r w:rsidR="00953498">
        <w:rPr>
          <w:lang w:eastAsia="ja-JP"/>
        </w:rPr>
        <w:t>measurements of TTL composition necessary to achieve these objectives.</w:t>
      </w:r>
    </w:p>
    <w:p w14:paraId="3E43D481" w14:textId="4B3C2CB5" w:rsidR="00B45D9E" w:rsidRPr="000D79D1" w:rsidRDefault="00B45D9E" w:rsidP="00974228">
      <w:pPr>
        <w:widowControl w:val="0"/>
        <w:autoSpaceDE w:val="0"/>
        <w:autoSpaceDN w:val="0"/>
        <w:adjustRightInd w:val="0"/>
        <w:spacing w:after="240"/>
        <w:rPr>
          <w:lang w:eastAsia="ja-JP"/>
        </w:rPr>
      </w:pPr>
      <w:r w:rsidRPr="000D79D1">
        <w:rPr>
          <w:b/>
          <w:lang w:eastAsia="ja-JP"/>
        </w:rPr>
        <w:t>Global Hawk Operations</w:t>
      </w:r>
    </w:p>
    <w:p w14:paraId="25D53AD3" w14:textId="62A4BF81" w:rsidR="003F2FCA" w:rsidRDefault="0019733E" w:rsidP="00974228">
      <w:pPr>
        <w:widowControl w:val="0"/>
        <w:autoSpaceDE w:val="0"/>
        <w:autoSpaceDN w:val="0"/>
        <w:adjustRightInd w:val="0"/>
        <w:spacing w:after="240"/>
        <w:rPr>
          <w:lang w:eastAsia="ja-JP"/>
        </w:rPr>
      </w:pPr>
      <w:r>
        <w:rPr>
          <w:lang w:eastAsia="ja-JP"/>
        </w:rPr>
        <w:t xml:space="preserve">The Global Hawk is ideal for sampling the TTL.  The aircraft ceiling (ranging from about 54,000 feet </w:t>
      </w:r>
      <w:r w:rsidR="00D65E7F">
        <w:rPr>
          <w:lang w:eastAsia="ja-JP"/>
        </w:rPr>
        <w:t xml:space="preserve">(~16.5 km) </w:t>
      </w:r>
      <w:r>
        <w:rPr>
          <w:lang w:eastAsia="ja-JP"/>
        </w:rPr>
        <w:t xml:space="preserve">shortly after takeoff to well over 60,000 feet </w:t>
      </w:r>
      <w:r w:rsidR="00D65E7F">
        <w:rPr>
          <w:lang w:eastAsia="ja-JP"/>
        </w:rPr>
        <w:t>(~18.3 km) in the latter part of</w:t>
      </w:r>
      <w:r>
        <w:rPr>
          <w:lang w:eastAsia="ja-JP"/>
        </w:rPr>
        <w:t xml:space="preserve"> the flight) permits sampling through the depth of the TTL and into the lower stratosphere.  The range of the Global Hawk permits sampling large regions of the Pacific even with flights from DFRC in southern California</w:t>
      </w:r>
      <w:r w:rsidR="00707B32">
        <w:rPr>
          <w:lang w:eastAsia="ja-JP"/>
        </w:rPr>
        <w:t xml:space="preserve"> (see Figures 2 and 3</w:t>
      </w:r>
      <w:r w:rsidR="003F2FCA">
        <w:rPr>
          <w:lang w:eastAsia="ja-JP"/>
        </w:rPr>
        <w:t>)</w:t>
      </w:r>
      <w:r>
        <w:rPr>
          <w:lang w:eastAsia="ja-JP"/>
        </w:rPr>
        <w:t xml:space="preserve">.  </w:t>
      </w:r>
      <w:r w:rsidR="003F2FCA">
        <w:rPr>
          <w:lang w:eastAsia="ja-JP"/>
        </w:rPr>
        <w:t xml:space="preserve">As demonstrated on the ATTREX flights, frequent profiling through the TTL is possible with the GH.  The payload capacity (~1,000 </w:t>
      </w:r>
      <w:proofErr w:type="spellStart"/>
      <w:r w:rsidR="003F2FCA">
        <w:rPr>
          <w:lang w:eastAsia="ja-JP"/>
        </w:rPr>
        <w:t>lbs</w:t>
      </w:r>
      <w:proofErr w:type="spellEnd"/>
      <w:r w:rsidR="003F2FCA">
        <w:rPr>
          <w:lang w:eastAsia="ja-JP"/>
        </w:rPr>
        <w:t>) is adequate for carrying instruments necessary to make</w:t>
      </w:r>
      <w:r w:rsidR="00BC14B5">
        <w:rPr>
          <w:lang w:eastAsia="ja-JP"/>
        </w:rPr>
        <w:t xml:space="preserve"> the key TTL measurements (see p</w:t>
      </w:r>
      <w:r w:rsidR="003F2FCA">
        <w:rPr>
          <w:lang w:eastAsia="ja-JP"/>
        </w:rPr>
        <w:t>ayload section below).</w:t>
      </w:r>
    </w:p>
    <w:p w14:paraId="5E8BFF68" w14:textId="6553B106" w:rsidR="00B45D9E" w:rsidRDefault="00953498" w:rsidP="00974228">
      <w:pPr>
        <w:widowControl w:val="0"/>
        <w:autoSpaceDE w:val="0"/>
        <w:autoSpaceDN w:val="0"/>
        <w:adjustRightInd w:val="0"/>
        <w:spacing w:after="240"/>
        <w:rPr>
          <w:lang w:eastAsia="ja-JP"/>
        </w:rPr>
      </w:pPr>
      <w:r>
        <w:rPr>
          <w:lang w:eastAsia="ja-JP"/>
        </w:rPr>
        <w:t xml:space="preserve">The long </w:t>
      </w:r>
      <w:r w:rsidR="001219E7">
        <w:rPr>
          <w:lang w:eastAsia="ja-JP"/>
        </w:rPr>
        <w:t>flight duration</w:t>
      </w:r>
      <w:r>
        <w:rPr>
          <w:lang w:eastAsia="ja-JP"/>
        </w:rPr>
        <w:t xml:space="preserve"> of the Global Hawk, as well as the fact that it is an unmanned aircraft, make </w:t>
      </w:r>
      <w:r w:rsidR="00E71BF1">
        <w:rPr>
          <w:lang w:eastAsia="ja-JP"/>
        </w:rPr>
        <w:t xml:space="preserve">ATTREX </w:t>
      </w:r>
      <w:r>
        <w:rPr>
          <w:lang w:eastAsia="ja-JP"/>
        </w:rPr>
        <w:t>operations q</w:t>
      </w:r>
      <w:r w:rsidR="00E71BF1">
        <w:rPr>
          <w:lang w:eastAsia="ja-JP"/>
        </w:rPr>
        <w:t xml:space="preserve">uite different from </w:t>
      </w:r>
      <w:r w:rsidR="00D65E7F">
        <w:rPr>
          <w:lang w:eastAsia="ja-JP"/>
        </w:rPr>
        <w:t>past</w:t>
      </w:r>
      <w:r w:rsidR="00E71BF1">
        <w:rPr>
          <w:lang w:eastAsia="ja-JP"/>
        </w:rPr>
        <w:t xml:space="preserve"> airborne science campaigns using manned aircraft.  The Global Hawk Operations Center (GHOC) consists of a front room populated by the pilots and mission manager, which essentially serves as a cockpit for the aircraft.  The payload manager, mission scientist, and instrument investigators </w:t>
      </w:r>
      <w:r w:rsidR="00180EB2">
        <w:rPr>
          <w:lang w:eastAsia="ja-JP"/>
        </w:rPr>
        <w:t>occupy</w:t>
      </w:r>
      <w:r w:rsidR="00E71BF1">
        <w:rPr>
          <w:lang w:eastAsia="ja-JP"/>
        </w:rPr>
        <w:t xml:space="preserve"> the back room (separated by a glass wall from the front room).  Given the </w:t>
      </w:r>
      <w:r w:rsidR="00BC14B5">
        <w:rPr>
          <w:lang w:eastAsia="ja-JP"/>
        </w:rPr>
        <w:t xml:space="preserve">ATTREX GH </w:t>
      </w:r>
      <w:r w:rsidR="00E71BF1">
        <w:rPr>
          <w:lang w:eastAsia="ja-JP"/>
        </w:rPr>
        <w:t>flight durations in excess of 24 hours, all key personnel must work in shifts to avoid fatigue.</w:t>
      </w:r>
    </w:p>
    <w:p w14:paraId="3D6F1907" w14:textId="0CD69850" w:rsidR="00D32ED3" w:rsidRDefault="00E71BF1" w:rsidP="00974228">
      <w:pPr>
        <w:widowControl w:val="0"/>
        <w:autoSpaceDE w:val="0"/>
        <w:autoSpaceDN w:val="0"/>
        <w:adjustRightInd w:val="0"/>
        <w:spacing w:after="240"/>
        <w:rPr>
          <w:lang w:eastAsia="ja-JP"/>
        </w:rPr>
      </w:pPr>
      <w:r>
        <w:rPr>
          <w:lang w:eastAsia="ja-JP"/>
        </w:rPr>
        <w:t>Inmarsat and Iridium satellite-based communication systems are used for command and control of the GH and its payload.</w:t>
      </w:r>
      <w:r w:rsidR="001219E7">
        <w:rPr>
          <w:lang w:eastAsia="ja-JP"/>
        </w:rPr>
        <w:t xml:space="preserve">  The GH also includes a Ku dish for high-speed communication with the payload.  Using these communications systems, investigators can </w:t>
      </w:r>
      <w:r w:rsidR="00180EB2">
        <w:rPr>
          <w:lang w:eastAsia="ja-JP"/>
        </w:rPr>
        <w:t xml:space="preserve">remotely </w:t>
      </w:r>
      <w:r w:rsidR="001219E7">
        <w:rPr>
          <w:lang w:eastAsia="ja-JP"/>
        </w:rPr>
        <w:t>monitor their instruments, optimize setting</w:t>
      </w:r>
      <w:r w:rsidR="00D65E7F">
        <w:rPr>
          <w:lang w:eastAsia="ja-JP"/>
        </w:rPr>
        <w:t>s</w:t>
      </w:r>
      <w:r w:rsidR="001219E7">
        <w:rPr>
          <w:lang w:eastAsia="ja-JP"/>
        </w:rPr>
        <w:t xml:space="preserve"> for the conditions being sampled, and correct problems that arise.  The real-time data downloaded to the GHOC is also extremely useful for </w:t>
      </w:r>
      <w:r w:rsidR="00180EB2">
        <w:rPr>
          <w:lang w:eastAsia="ja-JP"/>
        </w:rPr>
        <w:t xml:space="preserve">aircraft </w:t>
      </w:r>
      <w:r w:rsidR="001219E7">
        <w:rPr>
          <w:lang w:eastAsia="ja-JP"/>
        </w:rPr>
        <w:t>operations.  While the aircraft is flying at cruise altitude</w:t>
      </w:r>
      <w:r w:rsidR="00C450E1">
        <w:rPr>
          <w:lang w:eastAsia="ja-JP"/>
        </w:rPr>
        <w:t>, the real</w:t>
      </w:r>
      <w:r w:rsidR="001A7E97">
        <w:rPr>
          <w:lang w:eastAsia="ja-JP"/>
        </w:rPr>
        <w:t xml:space="preserve"> </w:t>
      </w:r>
      <w:r w:rsidR="00C450E1">
        <w:rPr>
          <w:lang w:eastAsia="ja-JP"/>
        </w:rPr>
        <w:t xml:space="preserve">time Cloud Physics </w:t>
      </w:r>
      <w:proofErr w:type="spellStart"/>
      <w:r w:rsidR="00C450E1">
        <w:rPr>
          <w:lang w:eastAsia="ja-JP"/>
        </w:rPr>
        <w:t>Lidar</w:t>
      </w:r>
      <w:proofErr w:type="spellEnd"/>
      <w:r w:rsidR="00C450E1">
        <w:rPr>
          <w:lang w:eastAsia="ja-JP"/>
        </w:rPr>
        <w:t xml:space="preserve"> (nadir) and Microwave Temperature Profiler measurements of clouds and temperature below the aircraft were used to decide when and where to execute verti</w:t>
      </w:r>
      <w:r w:rsidR="00BC14B5">
        <w:rPr>
          <w:lang w:eastAsia="ja-JP"/>
        </w:rPr>
        <w:t>cal profiles</w:t>
      </w:r>
      <w:r w:rsidR="00C450E1">
        <w:rPr>
          <w:lang w:eastAsia="ja-JP"/>
        </w:rPr>
        <w:t xml:space="preserve">.  </w:t>
      </w:r>
      <w:r w:rsidR="00180EB2">
        <w:rPr>
          <w:lang w:eastAsia="ja-JP"/>
        </w:rPr>
        <w:t xml:space="preserve">Real-time data from the in situ instruments was also useful for determining the conditions the GH was sampling.  </w:t>
      </w:r>
      <w:r w:rsidR="00C450E1">
        <w:rPr>
          <w:lang w:eastAsia="ja-JP"/>
        </w:rPr>
        <w:t xml:space="preserve">The real-time direction of the aircraft was facilitated by </w:t>
      </w:r>
      <w:r w:rsidR="00F11436">
        <w:rPr>
          <w:lang w:eastAsia="ja-JP"/>
        </w:rPr>
        <w:t xml:space="preserve">support from </w:t>
      </w:r>
      <w:r w:rsidR="00C450E1">
        <w:rPr>
          <w:lang w:eastAsia="ja-JP"/>
        </w:rPr>
        <w:t>the</w:t>
      </w:r>
      <w:r w:rsidR="00D32ED3">
        <w:rPr>
          <w:lang w:eastAsia="ja-JP"/>
        </w:rPr>
        <w:t xml:space="preserve"> GH pilots and mission manager who accommodated numerous request</w:t>
      </w:r>
      <w:r w:rsidR="001A7E97">
        <w:rPr>
          <w:lang w:eastAsia="ja-JP"/>
        </w:rPr>
        <w:t>s</w:t>
      </w:r>
      <w:r w:rsidR="00D32ED3">
        <w:rPr>
          <w:lang w:eastAsia="ja-JP"/>
        </w:rPr>
        <w:t xml:space="preserve"> for flight plan changes from the scientists.</w:t>
      </w:r>
    </w:p>
    <w:p w14:paraId="670A3B22" w14:textId="15C81F2F" w:rsidR="00D32ED3" w:rsidRDefault="00D32ED3" w:rsidP="00974228">
      <w:pPr>
        <w:widowControl w:val="0"/>
        <w:autoSpaceDE w:val="0"/>
        <w:autoSpaceDN w:val="0"/>
        <w:adjustRightInd w:val="0"/>
        <w:spacing w:after="240"/>
        <w:rPr>
          <w:lang w:eastAsia="ja-JP"/>
        </w:rPr>
      </w:pPr>
      <w:r>
        <w:rPr>
          <w:lang w:eastAsia="ja-JP"/>
        </w:rPr>
        <w:t xml:space="preserve">It should be noted that operation of the GH presents certain challenges.  Takeoffs and landings are not possible with icing conditions in the area, in precipitation, or with standing water on the runway. </w:t>
      </w:r>
      <w:r w:rsidR="00844340">
        <w:rPr>
          <w:lang w:eastAsia="ja-JP"/>
        </w:rPr>
        <w:t xml:space="preserve">The GH was not designed for flying in the extremely cold tropical </w:t>
      </w:r>
      <w:proofErr w:type="spellStart"/>
      <w:r w:rsidR="00844340">
        <w:rPr>
          <w:lang w:eastAsia="ja-JP"/>
        </w:rPr>
        <w:t>tropopause</w:t>
      </w:r>
      <w:proofErr w:type="spellEnd"/>
      <w:r w:rsidR="00844340">
        <w:rPr>
          <w:lang w:eastAsia="ja-JP"/>
        </w:rPr>
        <w:t xml:space="preserve"> air that is critical for ATTREX science objectives, and mitigation measures have been required to ensure that critical aircraft components are not exposed to the extreme outside temperatures.  </w:t>
      </w:r>
      <w:r>
        <w:rPr>
          <w:lang w:eastAsia="ja-JP"/>
        </w:rPr>
        <w:t xml:space="preserve">The </w:t>
      </w:r>
      <w:r w:rsidR="00C86A62">
        <w:rPr>
          <w:lang w:eastAsia="ja-JP"/>
        </w:rPr>
        <w:t>GH operation</w:t>
      </w:r>
      <w:r>
        <w:rPr>
          <w:lang w:eastAsia="ja-JP"/>
        </w:rPr>
        <w:t xml:space="preserve"> is also dependent on the functionality of multiple satellite communications systems</w:t>
      </w:r>
      <w:r w:rsidR="00C86A62">
        <w:rPr>
          <w:lang w:eastAsia="ja-JP"/>
        </w:rPr>
        <w:t xml:space="preserve"> that are not necessarily required for operation of manned aircraft</w:t>
      </w:r>
      <w:r>
        <w:rPr>
          <w:lang w:eastAsia="ja-JP"/>
        </w:rPr>
        <w:t>.</w:t>
      </w:r>
      <w:r w:rsidR="00A25A0F">
        <w:rPr>
          <w:lang w:eastAsia="ja-JP"/>
        </w:rPr>
        <w:t xml:space="preserve">  Despite these constraints, the Global Hawk has turned out to be an excellent platform for achieving the ATTREX objectives.</w:t>
      </w:r>
    </w:p>
    <w:p w14:paraId="2ECC2AC0" w14:textId="04744751" w:rsidR="00FE7D0D" w:rsidRDefault="00A0391E" w:rsidP="00974228">
      <w:pPr>
        <w:widowControl w:val="0"/>
        <w:autoSpaceDE w:val="0"/>
        <w:autoSpaceDN w:val="0"/>
        <w:adjustRightInd w:val="0"/>
        <w:spacing w:after="240"/>
        <w:rPr>
          <w:b/>
          <w:lang w:eastAsia="ja-JP"/>
        </w:rPr>
      </w:pPr>
      <w:r>
        <w:rPr>
          <w:b/>
          <w:lang w:eastAsia="ja-JP"/>
        </w:rPr>
        <w:t xml:space="preserve">ATTREX Global Hawk </w:t>
      </w:r>
      <w:r w:rsidR="00B45D9E" w:rsidRPr="000D79D1">
        <w:rPr>
          <w:b/>
          <w:lang w:eastAsia="ja-JP"/>
        </w:rPr>
        <w:t>Payload</w:t>
      </w:r>
    </w:p>
    <w:p w14:paraId="180B81AB" w14:textId="4C3D2A4A" w:rsidR="00437D81" w:rsidRDefault="00FE7D0D" w:rsidP="00974228">
      <w:pPr>
        <w:widowControl w:val="0"/>
        <w:autoSpaceDE w:val="0"/>
        <w:autoSpaceDN w:val="0"/>
        <w:adjustRightInd w:val="0"/>
        <w:spacing w:after="240"/>
        <w:rPr>
          <w:lang w:eastAsia="ja-JP"/>
        </w:rPr>
      </w:pPr>
      <w:r>
        <w:rPr>
          <w:lang w:eastAsia="ja-JP"/>
        </w:rPr>
        <w:t xml:space="preserve">The ATTREX payload was designed to address key uncertainties in our understanding of TTL composition, transport, and cloud processes affecting water vapor.  Measurements of water vapor, cloud properties, numerous tracers, meteorological conditions, and </w:t>
      </w:r>
      <w:proofErr w:type="spellStart"/>
      <w:r>
        <w:rPr>
          <w:lang w:eastAsia="ja-JP"/>
        </w:rPr>
        <w:t>radiative</w:t>
      </w:r>
      <w:proofErr w:type="spellEnd"/>
      <w:r>
        <w:rPr>
          <w:lang w:eastAsia="ja-JP"/>
        </w:rPr>
        <w:t xml:space="preserve"> fluxes are included (see Table 1</w:t>
      </w:r>
      <w:r w:rsidR="005D525F">
        <w:rPr>
          <w:lang w:eastAsia="ja-JP"/>
        </w:rPr>
        <w:t>)</w:t>
      </w:r>
      <w:r>
        <w:rPr>
          <w:lang w:eastAsia="ja-JP"/>
        </w:rPr>
        <w:t>.</w:t>
      </w:r>
      <w:r w:rsidR="00437D81">
        <w:rPr>
          <w:lang w:eastAsia="ja-JP"/>
        </w:rPr>
        <w:t xml:space="preserve">  Instruments were chosen based on proven techniques and size/weight accommodation on the GH</w:t>
      </w:r>
      <w:r w:rsidR="00272673">
        <w:rPr>
          <w:lang w:eastAsia="ja-JP"/>
        </w:rPr>
        <w:t>.</w:t>
      </w:r>
    </w:p>
    <w:tbl>
      <w:tblPr>
        <w:tblStyle w:val="TableGrid"/>
        <w:tblW w:w="0" w:type="auto"/>
        <w:tblBorders>
          <w:left w:val="none" w:sz="0" w:space="0" w:color="auto"/>
        </w:tblBorders>
        <w:tblCellMar>
          <w:left w:w="115" w:type="dxa"/>
          <w:right w:w="115" w:type="dxa"/>
        </w:tblCellMar>
        <w:tblLook w:val="04A0" w:firstRow="1" w:lastRow="0" w:firstColumn="1" w:lastColumn="0" w:noHBand="0" w:noVBand="1"/>
      </w:tblPr>
      <w:tblGrid>
        <w:gridCol w:w="2876"/>
        <w:gridCol w:w="1608"/>
        <w:gridCol w:w="1687"/>
        <w:gridCol w:w="2699"/>
      </w:tblGrid>
      <w:tr w:rsidR="003C28C9" w14:paraId="0DC01A7C" w14:textId="77777777" w:rsidTr="00C4209B">
        <w:tc>
          <w:tcPr>
            <w:tcW w:w="0" w:type="auto"/>
            <w:tcBorders>
              <w:top w:val="nil"/>
              <w:right w:val="nil"/>
            </w:tcBorders>
          </w:tcPr>
          <w:p w14:paraId="1E232A8F" w14:textId="3BDF4058" w:rsidR="003C28C9" w:rsidRPr="00C4209B" w:rsidRDefault="00C742FF" w:rsidP="00923E92">
            <w:pPr>
              <w:widowControl w:val="0"/>
              <w:autoSpaceDE w:val="0"/>
              <w:autoSpaceDN w:val="0"/>
              <w:adjustRightInd w:val="0"/>
              <w:spacing w:after="120"/>
              <w:rPr>
                <w:sz w:val="20"/>
                <w:szCs w:val="20"/>
                <w:lang w:eastAsia="ja-JP"/>
              </w:rPr>
            </w:pPr>
            <w:r>
              <w:rPr>
                <w:b/>
                <w:sz w:val="20"/>
                <w:szCs w:val="20"/>
                <w:lang w:eastAsia="ja-JP"/>
              </w:rPr>
              <w:t>Table 1</w:t>
            </w:r>
            <w:r w:rsidR="00C4209B">
              <w:rPr>
                <w:b/>
                <w:sz w:val="20"/>
                <w:szCs w:val="20"/>
                <w:lang w:eastAsia="ja-JP"/>
              </w:rPr>
              <w:t xml:space="preserve">. </w:t>
            </w:r>
            <w:r w:rsidR="00C4209B">
              <w:rPr>
                <w:sz w:val="20"/>
                <w:szCs w:val="20"/>
                <w:lang w:eastAsia="ja-JP"/>
              </w:rPr>
              <w:t>Global Hawk Payload</w:t>
            </w:r>
          </w:p>
        </w:tc>
        <w:tc>
          <w:tcPr>
            <w:tcW w:w="0" w:type="auto"/>
            <w:tcBorders>
              <w:top w:val="nil"/>
              <w:left w:val="nil"/>
              <w:right w:val="nil"/>
            </w:tcBorders>
          </w:tcPr>
          <w:p w14:paraId="46246586" w14:textId="77777777" w:rsidR="003C28C9" w:rsidRPr="003C28C9" w:rsidRDefault="003C28C9" w:rsidP="00923E92">
            <w:pPr>
              <w:widowControl w:val="0"/>
              <w:autoSpaceDE w:val="0"/>
              <w:autoSpaceDN w:val="0"/>
              <w:adjustRightInd w:val="0"/>
              <w:spacing w:after="120"/>
              <w:rPr>
                <w:sz w:val="20"/>
                <w:szCs w:val="20"/>
                <w:lang w:eastAsia="ja-JP"/>
              </w:rPr>
            </w:pPr>
          </w:p>
        </w:tc>
        <w:tc>
          <w:tcPr>
            <w:tcW w:w="0" w:type="auto"/>
            <w:tcBorders>
              <w:top w:val="nil"/>
              <w:left w:val="nil"/>
              <w:right w:val="nil"/>
            </w:tcBorders>
          </w:tcPr>
          <w:p w14:paraId="7D579AA5" w14:textId="77777777" w:rsidR="003C28C9" w:rsidRPr="003C28C9" w:rsidRDefault="003C28C9" w:rsidP="00923E92">
            <w:pPr>
              <w:widowControl w:val="0"/>
              <w:tabs>
                <w:tab w:val="right" w:pos="1998"/>
              </w:tabs>
              <w:autoSpaceDE w:val="0"/>
              <w:autoSpaceDN w:val="0"/>
              <w:adjustRightInd w:val="0"/>
              <w:spacing w:after="120"/>
              <w:rPr>
                <w:sz w:val="20"/>
                <w:szCs w:val="20"/>
                <w:lang w:eastAsia="ja-JP"/>
              </w:rPr>
            </w:pPr>
          </w:p>
        </w:tc>
        <w:tc>
          <w:tcPr>
            <w:tcW w:w="0" w:type="auto"/>
            <w:tcBorders>
              <w:top w:val="nil"/>
              <w:left w:val="nil"/>
              <w:right w:val="nil"/>
            </w:tcBorders>
          </w:tcPr>
          <w:p w14:paraId="24D4AB65" w14:textId="77777777" w:rsidR="003C28C9" w:rsidRPr="003C28C9" w:rsidRDefault="003C28C9" w:rsidP="00923E92">
            <w:pPr>
              <w:widowControl w:val="0"/>
              <w:autoSpaceDE w:val="0"/>
              <w:autoSpaceDN w:val="0"/>
              <w:adjustRightInd w:val="0"/>
              <w:spacing w:after="120"/>
              <w:rPr>
                <w:sz w:val="20"/>
                <w:szCs w:val="20"/>
                <w:lang w:eastAsia="ja-JP"/>
              </w:rPr>
            </w:pPr>
          </w:p>
        </w:tc>
      </w:tr>
      <w:tr w:rsidR="003C28C9" w14:paraId="4EFAE5E7" w14:textId="77777777" w:rsidTr="00C742FF">
        <w:tc>
          <w:tcPr>
            <w:tcW w:w="0" w:type="auto"/>
            <w:tcBorders>
              <w:bottom w:val="single" w:sz="4" w:space="0" w:color="auto"/>
              <w:right w:val="nil"/>
            </w:tcBorders>
          </w:tcPr>
          <w:p w14:paraId="6E9C0F4A" w14:textId="5440CB51" w:rsidR="00272673" w:rsidRPr="003C28C9" w:rsidRDefault="00A41164" w:rsidP="00045E5D">
            <w:pPr>
              <w:widowControl w:val="0"/>
              <w:autoSpaceDE w:val="0"/>
              <w:autoSpaceDN w:val="0"/>
              <w:adjustRightInd w:val="0"/>
              <w:spacing w:after="40"/>
              <w:rPr>
                <w:sz w:val="20"/>
                <w:szCs w:val="20"/>
                <w:lang w:eastAsia="ja-JP"/>
              </w:rPr>
            </w:pPr>
            <w:r w:rsidRPr="003C28C9">
              <w:rPr>
                <w:sz w:val="20"/>
                <w:szCs w:val="20"/>
                <w:lang w:eastAsia="ja-JP"/>
              </w:rPr>
              <w:t>Instrument</w:t>
            </w:r>
          </w:p>
        </w:tc>
        <w:tc>
          <w:tcPr>
            <w:tcW w:w="0" w:type="auto"/>
            <w:tcBorders>
              <w:left w:val="nil"/>
              <w:bottom w:val="single" w:sz="4" w:space="0" w:color="auto"/>
              <w:right w:val="nil"/>
            </w:tcBorders>
          </w:tcPr>
          <w:p w14:paraId="74037FD1" w14:textId="54C4C5EE" w:rsidR="00272673" w:rsidRPr="003C28C9" w:rsidRDefault="00A41164" w:rsidP="00045E5D">
            <w:pPr>
              <w:widowControl w:val="0"/>
              <w:autoSpaceDE w:val="0"/>
              <w:autoSpaceDN w:val="0"/>
              <w:adjustRightInd w:val="0"/>
              <w:spacing w:after="40"/>
              <w:rPr>
                <w:sz w:val="20"/>
                <w:szCs w:val="20"/>
                <w:lang w:eastAsia="ja-JP"/>
              </w:rPr>
            </w:pPr>
            <w:r w:rsidRPr="003C28C9">
              <w:rPr>
                <w:sz w:val="20"/>
                <w:szCs w:val="20"/>
                <w:lang w:eastAsia="ja-JP"/>
              </w:rPr>
              <w:t>Investigator</w:t>
            </w:r>
          </w:p>
        </w:tc>
        <w:tc>
          <w:tcPr>
            <w:tcW w:w="0" w:type="auto"/>
            <w:tcBorders>
              <w:left w:val="nil"/>
              <w:bottom w:val="single" w:sz="4" w:space="0" w:color="auto"/>
              <w:right w:val="nil"/>
            </w:tcBorders>
          </w:tcPr>
          <w:p w14:paraId="454B7188" w14:textId="7D6647CF" w:rsidR="00272673" w:rsidRPr="003C28C9" w:rsidRDefault="00A41164" w:rsidP="00045E5D">
            <w:pPr>
              <w:widowControl w:val="0"/>
              <w:tabs>
                <w:tab w:val="right" w:pos="1998"/>
              </w:tabs>
              <w:autoSpaceDE w:val="0"/>
              <w:autoSpaceDN w:val="0"/>
              <w:adjustRightInd w:val="0"/>
              <w:spacing w:after="40"/>
              <w:rPr>
                <w:sz w:val="20"/>
                <w:szCs w:val="20"/>
                <w:lang w:eastAsia="ja-JP"/>
              </w:rPr>
            </w:pPr>
            <w:r w:rsidRPr="003C28C9">
              <w:rPr>
                <w:sz w:val="20"/>
                <w:szCs w:val="20"/>
                <w:lang w:eastAsia="ja-JP"/>
              </w:rPr>
              <w:t>Institution</w:t>
            </w:r>
            <w:r w:rsidRPr="003C28C9">
              <w:rPr>
                <w:sz w:val="20"/>
                <w:szCs w:val="20"/>
                <w:lang w:eastAsia="ja-JP"/>
              </w:rPr>
              <w:tab/>
            </w:r>
          </w:p>
        </w:tc>
        <w:tc>
          <w:tcPr>
            <w:tcW w:w="0" w:type="auto"/>
            <w:tcBorders>
              <w:left w:val="nil"/>
              <w:bottom w:val="single" w:sz="4" w:space="0" w:color="auto"/>
              <w:right w:val="nil"/>
            </w:tcBorders>
          </w:tcPr>
          <w:p w14:paraId="7A4F4AF1" w14:textId="7F81EE28" w:rsidR="00272673" w:rsidRPr="003C28C9" w:rsidRDefault="00A41164" w:rsidP="00045E5D">
            <w:pPr>
              <w:widowControl w:val="0"/>
              <w:autoSpaceDE w:val="0"/>
              <w:autoSpaceDN w:val="0"/>
              <w:adjustRightInd w:val="0"/>
              <w:spacing w:after="40"/>
              <w:rPr>
                <w:sz w:val="20"/>
                <w:szCs w:val="20"/>
                <w:lang w:eastAsia="ja-JP"/>
              </w:rPr>
            </w:pPr>
            <w:r w:rsidRPr="003C28C9">
              <w:rPr>
                <w:sz w:val="20"/>
                <w:szCs w:val="20"/>
                <w:lang w:eastAsia="ja-JP"/>
              </w:rPr>
              <w:t>Measurements</w:t>
            </w:r>
          </w:p>
        </w:tc>
      </w:tr>
      <w:tr w:rsidR="003C28C9" w14:paraId="212BFAB3" w14:textId="77777777" w:rsidTr="00C742FF">
        <w:tc>
          <w:tcPr>
            <w:tcW w:w="0" w:type="auto"/>
            <w:tcBorders>
              <w:bottom w:val="nil"/>
              <w:right w:val="nil"/>
            </w:tcBorders>
          </w:tcPr>
          <w:p w14:paraId="0A52AD8E" w14:textId="57DDD4AC" w:rsidR="00272673" w:rsidRPr="003C28C9" w:rsidRDefault="00A41164" w:rsidP="00045E5D">
            <w:pPr>
              <w:widowControl w:val="0"/>
              <w:autoSpaceDE w:val="0"/>
              <w:autoSpaceDN w:val="0"/>
              <w:adjustRightInd w:val="0"/>
              <w:spacing w:after="40"/>
              <w:rPr>
                <w:sz w:val="20"/>
                <w:szCs w:val="20"/>
                <w:lang w:eastAsia="ja-JP"/>
              </w:rPr>
            </w:pPr>
            <w:r w:rsidRPr="003C28C9">
              <w:rPr>
                <w:sz w:val="20"/>
                <w:szCs w:val="20"/>
                <w:lang w:eastAsia="ja-JP"/>
              </w:rPr>
              <w:t xml:space="preserve">Cloud Physics </w:t>
            </w:r>
            <w:proofErr w:type="spellStart"/>
            <w:r w:rsidRPr="003C28C9">
              <w:rPr>
                <w:sz w:val="20"/>
                <w:szCs w:val="20"/>
                <w:lang w:eastAsia="ja-JP"/>
              </w:rPr>
              <w:t>Lidar</w:t>
            </w:r>
            <w:proofErr w:type="spellEnd"/>
            <w:r w:rsidRPr="003C28C9">
              <w:rPr>
                <w:sz w:val="20"/>
                <w:szCs w:val="20"/>
                <w:lang w:eastAsia="ja-JP"/>
              </w:rPr>
              <w:t xml:space="preserve"> (CPL)</w:t>
            </w:r>
          </w:p>
        </w:tc>
        <w:tc>
          <w:tcPr>
            <w:tcW w:w="0" w:type="auto"/>
            <w:tcBorders>
              <w:left w:val="nil"/>
              <w:bottom w:val="nil"/>
              <w:right w:val="nil"/>
            </w:tcBorders>
          </w:tcPr>
          <w:p w14:paraId="20D8E3E0" w14:textId="7434A9B7" w:rsidR="00272673" w:rsidRPr="003C28C9" w:rsidRDefault="00A41164" w:rsidP="00045E5D">
            <w:pPr>
              <w:widowControl w:val="0"/>
              <w:autoSpaceDE w:val="0"/>
              <w:autoSpaceDN w:val="0"/>
              <w:adjustRightInd w:val="0"/>
              <w:spacing w:after="40"/>
              <w:rPr>
                <w:sz w:val="20"/>
                <w:szCs w:val="20"/>
                <w:lang w:eastAsia="ja-JP"/>
              </w:rPr>
            </w:pPr>
            <w:r w:rsidRPr="003C28C9">
              <w:rPr>
                <w:sz w:val="20"/>
                <w:szCs w:val="20"/>
                <w:lang w:eastAsia="ja-JP"/>
              </w:rPr>
              <w:t>M. McGill</w:t>
            </w:r>
          </w:p>
        </w:tc>
        <w:tc>
          <w:tcPr>
            <w:tcW w:w="0" w:type="auto"/>
            <w:tcBorders>
              <w:left w:val="nil"/>
              <w:bottom w:val="nil"/>
              <w:right w:val="nil"/>
            </w:tcBorders>
          </w:tcPr>
          <w:p w14:paraId="3BAAC032" w14:textId="235FCC84" w:rsidR="00272673" w:rsidRPr="003C28C9" w:rsidRDefault="00A41164" w:rsidP="00045E5D">
            <w:pPr>
              <w:widowControl w:val="0"/>
              <w:autoSpaceDE w:val="0"/>
              <w:autoSpaceDN w:val="0"/>
              <w:adjustRightInd w:val="0"/>
              <w:spacing w:after="40"/>
              <w:rPr>
                <w:sz w:val="20"/>
                <w:szCs w:val="20"/>
                <w:lang w:eastAsia="ja-JP"/>
              </w:rPr>
            </w:pPr>
            <w:r w:rsidRPr="003C28C9">
              <w:rPr>
                <w:sz w:val="20"/>
                <w:szCs w:val="20"/>
                <w:lang w:eastAsia="ja-JP"/>
              </w:rPr>
              <w:t>NASA/GSFC</w:t>
            </w:r>
          </w:p>
        </w:tc>
        <w:tc>
          <w:tcPr>
            <w:tcW w:w="0" w:type="auto"/>
            <w:tcBorders>
              <w:left w:val="nil"/>
              <w:bottom w:val="nil"/>
              <w:right w:val="nil"/>
            </w:tcBorders>
          </w:tcPr>
          <w:p w14:paraId="209C245E" w14:textId="418A7B97" w:rsidR="00272673" w:rsidRPr="003C28C9" w:rsidRDefault="00A41164" w:rsidP="00045E5D">
            <w:pPr>
              <w:widowControl w:val="0"/>
              <w:autoSpaceDE w:val="0"/>
              <w:autoSpaceDN w:val="0"/>
              <w:adjustRightInd w:val="0"/>
              <w:spacing w:after="40"/>
              <w:rPr>
                <w:sz w:val="20"/>
                <w:szCs w:val="20"/>
                <w:lang w:eastAsia="ja-JP"/>
              </w:rPr>
            </w:pPr>
            <w:r w:rsidRPr="003C28C9">
              <w:rPr>
                <w:sz w:val="20"/>
                <w:szCs w:val="20"/>
                <w:lang w:eastAsia="ja-JP"/>
              </w:rPr>
              <w:t>Aerosol/cloud backscatter</w:t>
            </w:r>
          </w:p>
        </w:tc>
      </w:tr>
      <w:tr w:rsidR="003C28C9" w14:paraId="477709E7" w14:textId="77777777" w:rsidTr="00B40811">
        <w:tc>
          <w:tcPr>
            <w:tcW w:w="0" w:type="auto"/>
            <w:tcBorders>
              <w:top w:val="nil"/>
              <w:bottom w:val="nil"/>
              <w:right w:val="nil"/>
            </w:tcBorders>
          </w:tcPr>
          <w:p w14:paraId="2F3D629F" w14:textId="6EA44E4B" w:rsidR="00272673" w:rsidRPr="003C28C9" w:rsidRDefault="00E1221A" w:rsidP="00045E5D">
            <w:pPr>
              <w:widowControl w:val="0"/>
              <w:autoSpaceDE w:val="0"/>
              <w:autoSpaceDN w:val="0"/>
              <w:adjustRightInd w:val="0"/>
              <w:spacing w:after="40"/>
              <w:rPr>
                <w:sz w:val="20"/>
                <w:szCs w:val="20"/>
                <w:lang w:eastAsia="ja-JP"/>
              </w:rPr>
            </w:pPr>
            <w:r>
              <w:rPr>
                <w:sz w:val="20"/>
                <w:szCs w:val="20"/>
                <w:lang w:eastAsia="ja-JP"/>
              </w:rPr>
              <w:t>Global Hawk Whole Air Sampler (G</w:t>
            </w:r>
            <w:r w:rsidR="003C28C9" w:rsidRPr="003C28C9">
              <w:rPr>
                <w:sz w:val="20"/>
                <w:szCs w:val="20"/>
                <w:lang w:eastAsia="ja-JP"/>
              </w:rPr>
              <w:t>WAS)</w:t>
            </w:r>
          </w:p>
        </w:tc>
        <w:tc>
          <w:tcPr>
            <w:tcW w:w="0" w:type="auto"/>
            <w:tcBorders>
              <w:top w:val="nil"/>
              <w:left w:val="nil"/>
              <w:bottom w:val="nil"/>
              <w:right w:val="nil"/>
            </w:tcBorders>
          </w:tcPr>
          <w:p w14:paraId="60FD2D13" w14:textId="2128D43E"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E. Atlas</w:t>
            </w:r>
          </w:p>
        </w:tc>
        <w:tc>
          <w:tcPr>
            <w:tcW w:w="0" w:type="auto"/>
            <w:tcBorders>
              <w:top w:val="nil"/>
              <w:left w:val="nil"/>
              <w:bottom w:val="nil"/>
              <w:right w:val="nil"/>
            </w:tcBorders>
          </w:tcPr>
          <w:p w14:paraId="6BB71E65" w14:textId="36630DD7"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Univ. of Miami</w:t>
            </w:r>
          </w:p>
        </w:tc>
        <w:tc>
          <w:tcPr>
            <w:tcW w:w="0" w:type="auto"/>
            <w:tcBorders>
              <w:top w:val="nil"/>
              <w:left w:val="nil"/>
              <w:bottom w:val="nil"/>
              <w:right w:val="nil"/>
            </w:tcBorders>
          </w:tcPr>
          <w:p w14:paraId="6B16097E" w14:textId="6DEFB285"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 xml:space="preserve">CFCs, </w:t>
            </w:r>
            <w:proofErr w:type="spellStart"/>
            <w:r w:rsidRPr="003C28C9">
              <w:rPr>
                <w:sz w:val="20"/>
                <w:szCs w:val="20"/>
                <w:lang w:eastAsia="ja-JP"/>
              </w:rPr>
              <w:t>halons</w:t>
            </w:r>
            <w:proofErr w:type="spellEnd"/>
            <w:r w:rsidRPr="003C28C9">
              <w:rPr>
                <w:sz w:val="20"/>
                <w:szCs w:val="20"/>
                <w:lang w:eastAsia="ja-JP"/>
              </w:rPr>
              <w:t>, HCFCs, N</w:t>
            </w:r>
            <w:r w:rsidRPr="00C4209B">
              <w:rPr>
                <w:sz w:val="20"/>
                <w:szCs w:val="20"/>
                <w:vertAlign w:val="subscript"/>
                <w:lang w:eastAsia="ja-JP"/>
              </w:rPr>
              <w:t>2</w:t>
            </w:r>
            <w:r w:rsidRPr="003C28C9">
              <w:rPr>
                <w:sz w:val="20"/>
                <w:szCs w:val="20"/>
                <w:lang w:eastAsia="ja-JP"/>
              </w:rPr>
              <w:t>O, CH</w:t>
            </w:r>
            <w:r w:rsidRPr="00C4209B">
              <w:rPr>
                <w:sz w:val="20"/>
                <w:szCs w:val="20"/>
                <w:vertAlign w:val="subscript"/>
                <w:lang w:eastAsia="ja-JP"/>
              </w:rPr>
              <w:t>4</w:t>
            </w:r>
            <w:r w:rsidRPr="003C28C9">
              <w:rPr>
                <w:sz w:val="20"/>
                <w:szCs w:val="20"/>
                <w:lang w:eastAsia="ja-JP"/>
              </w:rPr>
              <w:t>, HFCs, PFCs, hydrocarbons, etc.</w:t>
            </w:r>
          </w:p>
        </w:tc>
      </w:tr>
      <w:tr w:rsidR="003C28C9" w14:paraId="4ADA121F" w14:textId="77777777" w:rsidTr="00B40811">
        <w:tc>
          <w:tcPr>
            <w:tcW w:w="0" w:type="auto"/>
            <w:tcBorders>
              <w:top w:val="nil"/>
              <w:bottom w:val="nil"/>
              <w:right w:val="nil"/>
            </w:tcBorders>
          </w:tcPr>
          <w:p w14:paraId="3CC3C8BF" w14:textId="1FA07B26"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UAS Chromatograph for Tracers (UCATS)</w:t>
            </w:r>
          </w:p>
        </w:tc>
        <w:tc>
          <w:tcPr>
            <w:tcW w:w="0" w:type="auto"/>
            <w:tcBorders>
              <w:top w:val="nil"/>
              <w:left w:val="nil"/>
              <w:bottom w:val="nil"/>
              <w:right w:val="nil"/>
            </w:tcBorders>
          </w:tcPr>
          <w:p w14:paraId="3DF91B75" w14:textId="6AA12AC2"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J. Elkins</w:t>
            </w:r>
          </w:p>
        </w:tc>
        <w:tc>
          <w:tcPr>
            <w:tcW w:w="0" w:type="auto"/>
            <w:tcBorders>
              <w:top w:val="nil"/>
              <w:left w:val="nil"/>
              <w:bottom w:val="nil"/>
              <w:right w:val="nil"/>
            </w:tcBorders>
          </w:tcPr>
          <w:p w14:paraId="189F29B4" w14:textId="43F23908"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NOAA/CMDL</w:t>
            </w:r>
          </w:p>
        </w:tc>
        <w:tc>
          <w:tcPr>
            <w:tcW w:w="0" w:type="auto"/>
            <w:tcBorders>
              <w:top w:val="nil"/>
              <w:left w:val="nil"/>
              <w:bottom w:val="nil"/>
              <w:right w:val="nil"/>
            </w:tcBorders>
          </w:tcPr>
          <w:p w14:paraId="2D0F9BD5" w14:textId="3E82B89B"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O</w:t>
            </w:r>
            <w:r w:rsidRPr="00C4209B">
              <w:rPr>
                <w:sz w:val="20"/>
                <w:szCs w:val="20"/>
                <w:vertAlign w:val="subscript"/>
                <w:lang w:eastAsia="ja-JP"/>
              </w:rPr>
              <w:t>3</w:t>
            </w:r>
            <w:r w:rsidRPr="003C28C9">
              <w:rPr>
                <w:sz w:val="20"/>
                <w:szCs w:val="20"/>
                <w:lang w:eastAsia="ja-JP"/>
              </w:rPr>
              <w:t>, CH</w:t>
            </w:r>
            <w:r w:rsidRPr="00C4209B">
              <w:rPr>
                <w:sz w:val="20"/>
                <w:szCs w:val="20"/>
                <w:vertAlign w:val="subscript"/>
                <w:lang w:eastAsia="ja-JP"/>
              </w:rPr>
              <w:t>4</w:t>
            </w:r>
            <w:r w:rsidRPr="003C28C9">
              <w:rPr>
                <w:sz w:val="20"/>
                <w:szCs w:val="20"/>
                <w:lang w:eastAsia="ja-JP"/>
              </w:rPr>
              <w:t>, N</w:t>
            </w:r>
            <w:r w:rsidRPr="00C4209B">
              <w:rPr>
                <w:sz w:val="20"/>
                <w:szCs w:val="20"/>
                <w:vertAlign w:val="subscript"/>
                <w:lang w:eastAsia="ja-JP"/>
              </w:rPr>
              <w:t>2</w:t>
            </w:r>
            <w:r w:rsidRPr="003C28C9">
              <w:rPr>
                <w:sz w:val="20"/>
                <w:szCs w:val="20"/>
                <w:lang w:eastAsia="ja-JP"/>
              </w:rPr>
              <w:t>O, SF</w:t>
            </w:r>
            <w:r w:rsidRPr="00C4209B">
              <w:rPr>
                <w:sz w:val="20"/>
                <w:szCs w:val="20"/>
                <w:vertAlign w:val="subscript"/>
                <w:lang w:eastAsia="ja-JP"/>
              </w:rPr>
              <w:t>6</w:t>
            </w:r>
            <w:r w:rsidRPr="003C28C9">
              <w:rPr>
                <w:sz w:val="20"/>
                <w:szCs w:val="20"/>
                <w:lang w:eastAsia="ja-JP"/>
              </w:rPr>
              <w:t>, H</w:t>
            </w:r>
            <w:r w:rsidRPr="00C4209B">
              <w:rPr>
                <w:sz w:val="20"/>
                <w:szCs w:val="20"/>
                <w:vertAlign w:val="subscript"/>
                <w:lang w:eastAsia="ja-JP"/>
              </w:rPr>
              <w:t>2</w:t>
            </w:r>
            <w:r w:rsidRPr="003C28C9">
              <w:rPr>
                <w:sz w:val="20"/>
                <w:szCs w:val="20"/>
                <w:lang w:eastAsia="ja-JP"/>
              </w:rPr>
              <w:t>O, CO</w:t>
            </w:r>
          </w:p>
        </w:tc>
      </w:tr>
      <w:tr w:rsidR="003C28C9" w14:paraId="5AFA7B77" w14:textId="77777777" w:rsidTr="00B40811">
        <w:tc>
          <w:tcPr>
            <w:tcW w:w="0" w:type="auto"/>
            <w:tcBorders>
              <w:top w:val="nil"/>
              <w:bottom w:val="nil"/>
              <w:right w:val="nil"/>
            </w:tcBorders>
          </w:tcPr>
          <w:p w14:paraId="2AF5FDA3" w14:textId="37F0DDD6"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NOAA Ozone</w:t>
            </w:r>
          </w:p>
        </w:tc>
        <w:tc>
          <w:tcPr>
            <w:tcW w:w="0" w:type="auto"/>
            <w:tcBorders>
              <w:top w:val="nil"/>
              <w:left w:val="nil"/>
              <w:bottom w:val="nil"/>
              <w:right w:val="nil"/>
            </w:tcBorders>
          </w:tcPr>
          <w:p w14:paraId="3A102FE8" w14:textId="2E7B382E" w:rsidR="00272673" w:rsidRPr="003C28C9" w:rsidRDefault="003C28C9" w:rsidP="00045E5D">
            <w:pPr>
              <w:widowControl w:val="0"/>
              <w:autoSpaceDE w:val="0"/>
              <w:autoSpaceDN w:val="0"/>
              <w:adjustRightInd w:val="0"/>
              <w:spacing w:after="40"/>
              <w:rPr>
                <w:sz w:val="20"/>
                <w:szCs w:val="20"/>
                <w:lang w:eastAsia="ja-JP"/>
              </w:rPr>
            </w:pPr>
            <w:proofErr w:type="gramStart"/>
            <w:r w:rsidRPr="003C28C9">
              <w:rPr>
                <w:sz w:val="20"/>
                <w:szCs w:val="20"/>
                <w:lang w:eastAsia="ja-JP"/>
              </w:rPr>
              <w:t>R.-</w:t>
            </w:r>
            <w:proofErr w:type="gramEnd"/>
            <w:r w:rsidRPr="003C28C9">
              <w:rPr>
                <w:sz w:val="20"/>
                <w:szCs w:val="20"/>
                <w:lang w:eastAsia="ja-JP"/>
              </w:rPr>
              <w:t xml:space="preserve">S. </w:t>
            </w:r>
            <w:proofErr w:type="spellStart"/>
            <w:r w:rsidRPr="003C28C9">
              <w:rPr>
                <w:sz w:val="20"/>
                <w:szCs w:val="20"/>
                <w:lang w:eastAsia="ja-JP"/>
              </w:rPr>
              <w:t>Gao</w:t>
            </w:r>
            <w:proofErr w:type="spellEnd"/>
          </w:p>
        </w:tc>
        <w:tc>
          <w:tcPr>
            <w:tcW w:w="0" w:type="auto"/>
            <w:tcBorders>
              <w:top w:val="nil"/>
              <w:left w:val="nil"/>
              <w:bottom w:val="nil"/>
              <w:right w:val="nil"/>
            </w:tcBorders>
          </w:tcPr>
          <w:p w14:paraId="1A0A9B05" w14:textId="48270398"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NOAA/CMDL</w:t>
            </w:r>
          </w:p>
        </w:tc>
        <w:tc>
          <w:tcPr>
            <w:tcW w:w="0" w:type="auto"/>
            <w:tcBorders>
              <w:top w:val="nil"/>
              <w:left w:val="nil"/>
              <w:bottom w:val="nil"/>
              <w:right w:val="nil"/>
            </w:tcBorders>
          </w:tcPr>
          <w:p w14:paraId="23E9CA16" w14:textId="1BC1B19E"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O</w:t>
            </w:r>
            <w:r w:rsidRPr="00C4209B">
              <w:rPr>
                <w:sz w:val="20"/>
                <w:szCs w:val="20"/>
                <w:vertAlign w:val="subscript"/>
                <w:lang w:eastAsia="ja-JP"/>
              </w:rPr>
              <w:t>3</w:t>
            </w:r>
          </w:p>
        </w:tc>
      </w:tr>
      <w:tr w:rsidR="003C28C9" w14:paraId="50E901A2" w14:textId="77777777" w:rsidTr="00923E92">
        <w:tc>
          <w:tcPr>
            <w:tcW w:w="0" w:type="auto"/>
            <w:tcBorders>
              <w:top w:val="nil"/>
              <w:bottom w:val="nil"/>
              <w:right w:val="nil"/>
            </w:tcBorders>
          </w:tcPr>
          <w:p w14:paraId="565F7D63" w14:textId="057B9A89"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 xml:space="preserve">Harvard University </w:t>
            </w:r>
            <w:proofErr w:type="spellStart"/>
            <w:r w:rsidRPr="003C28C9">
              <w:rPr>
                <w:sz w:val="20"/>
                <w:szCs w:val="20"/>
                <w:lang w:eastAsia="ja-JP"/>
              </w:rPr>
              <w:t>Picarro</w:t>
            </w:r>
            <w:proofErr w:type="spellEnd"/>
            <w:r w:rsidRPr="003C28C9">
              <w:rPr>
                <w:sz w:val="20"/>
                <w:szCs w:val="20"/>
                <w:lang w:eastAsia="ja-JP"/>
              </w:rPr>
              <w:t xml:space="preserve"> Cavity </w:t>
            </w:r>
            <w:proofErr w:type="spellStart"/>
            <w:r w:rsidRPr="003C28C9">
              <w:rPr>
                <w:sz w:val="20"/>
                <w:szCs w:val="20"/>
                <w:lang w:eastAsia="ja-JP"/>
              </w:rPr>
              <w:t>Ringdown</w:t>
            </w:r>
            <w:proofErr w:type="spellEnd"/>
            <w:r w:rsidRPr="003C28C9">
              <w:rPr>
                <w:sz w:val="20"/>
                <w:szCs w:val="20"/>
                <w:lang w:eastAsia="ja-JP"/>
              </w:rPr>
              <w:t xml:space="preserve"> Spectrometer (HUPCRS)</w:t>
            </w:r>
          </w:p>
        </w:tc>
        <w:tc>
          <w:tcPr>
            <w:tcW w:w="0" w:type="auto"/>
            <w:tcBorders>
              <w:top w:val="nil"/>
              <w:left w:val="nil"/>
              <w:bottom w:val="nil"/>
              <w:right w:val="nil"/>
            </w:tcBorders>
          </w:tcPr>
          <w:p w14:paraId="285A3428" w14:textId="71E42214"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 xml:space="preserve">S. </w:t>
            </w:r>
            <w:proofErr w:type="spellStart"/>
            <w:r w:rsidRPr="003C28C9">
              <w:rPr>
                <w:sz w:val="20"/>
                <w:szCs w:val="20"/>
                <w:lang w:eastAsia="ja-JP"/>
              </w:rPr>
              <w:t>Wofsy</w:t>
            </w:r>
            <w:proofErr w:type="spellEnd"/>
          </w:p>
        </w:tc>
        <w:tc>
          <w:tcPr>
            <w:tcW w:w="0" w:type="auto"/>
            <w:tcBorders>
              <w:top w:val="nil"/>
              <w:left w:val="nil"/>
              <w:bottom w:val="nil"/>
              <w:right w:val="nil"/>
            </w:tcBorders>
          </w:tcPr>
          <w:p w14:paraId="278F994E" w14:textId="57FC4ED4"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Harvard University</w:t>
            </w:r>
          </w:p>
        </w:tc>
        <w:tc>
          <w:tcPr>
            <w:tcW w:w="0" w:type="auto"/>
            <w:tcBorders>
              <w:top w:val="nil"/>
              <w:left w:val="nil"/>
              <w:bottom w:val="nil"/>
              <w:right w:val="nil"/>
            </w:tcBorders>
          </w:tcPr>
          <w:p w14:paraId="4AF916B5" w14:textId="0568F4B5"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CO</w:t>
            </w:r>
            <w:r w:rsidRPr="00C4209B">
              <w:rPr>
                <w:sz w:val="20"/>
                <w:szCs w:val="20"/>
                <w:vertAlign w:val="subscript"/>
                <w:lang w:eastAsia="ja-JP"/>
              </w:rPr>
              <w:t>2</w:t>
            </w:r>
            <w:r w:rsidRPr="003C28C9">
              <w:rPr>
                <w:sz w:val="20"/>
                <w:szCs w:val="20"/>
                <w:lang w:eastAsia="ja-JP"/>
              </w:rPr>
              <w:t>, CO, CH</w:t>
            </w:r>
            <w:r w:rsidRPr="00C4209B">
              <w:rPr>
                <w:sz w:val="20"/>
                <w:szCs w:val="20"/>
                <w:vertAlign w:val="subscript"/>
                <w:lang w:eastAsia="ja-JP"/>
              </w:rPr>
              <w:t>4</w:t>
            </w:r>
          </w:p>
        </w:tc>
      </w:tr>
      <w:tr w:rsidR="003C28C9" w14:paraId="21B3D230" w14:textId="77777777" w:rsidTr="00923E92">
        <w:tc>
          <w:tcPr>
            <w:tcW w:w="0" w:type="auto"/>
            <w:tcBorders>
              <w:top w:val="nil"/>
              <w:bottom w:val="nil"/>
              <w:right w:val="nil"/>
            </w:tcBorders>
          </w:tcPr>
          <w:p w14:paraId="15F08290" w14:textId="2680877E"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NOAA TDL Water</w:t>
            </w:r>
          </w:p>
        </w:tc>
        <w:tc>
          <w:tcPr>
            <w:tcW w:w="0" w:type="auto"/>
            <w:tcBorders>
              <w:top w:val="nil"/>
              <w:left w:val="nil"/>
              <w:bottom w:val="nil"/>
              <w:right w:val="nil"/>
            </w:tcBorders>
          </w:tcPr>
          <w:p w14:paraId="46CD9891" w14:textId="2BDAA80B"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T. Thornberry</w:t>
            </w:r>
          </w:p>
        </w:tc>
        <w:tc>
          <w:tcPr>
            <w:tcW w:w="0" w:type="auto"/>
            <w:tcBorders>
              <w:top w:val="nil"/>
              <w:left w:val="nil"/>
              <w:bottom w:val="nil"/>
              <w:right w:val="nil"/>
            </w:tcBorders>
          </w:tcPr>
          <w:p w14:paraId="5862CCBD" w14:textId="7E6D7B78"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NOAA/CMDL</w:t>
            </w:r>
          </w:p>
        </w:tc>
        <w:tc>
          <w:tcPr>
            <w:tcW w:w="0" w:type="auto"/>
            <w:tcBorders>
              <w:top w:val="nil"/>
              <w:left w:val="nil"/>
              <w:bottom w:val="nil"/>
              <w:right w:val="nil"/>
            </w:tcBorders>
          </w:tcPr>
          <w:p w14:paraId="6155553C" w14:textId="4926A3C1"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H</w:t>
            </w:r>
            <w:r w:rsidRPr="00C4209B">
              <w:rPr>
                <w:sz w:val="20"/>
                <w:szCs w:val="20"/>
                <w:vertAlign w:val="subscript"/>
                <w:lang w:eastAsia="ja-JP"/>
              </w:rPr>
              <w:t>2</w:t>
            </w:r>
            <w:r w:rsidRPr="003C28C9">
              <w:rPr>
                <w:sz w:val="20"/>
                <w:szCs w:val="20"/>
                <w:lang w:eastAsia="ja-JP"/>
              </w:rPr>
              <w:t>O (vapor and total)</w:t>
            </w:r>
          </w:p>
        </w:tc>
      </w:tr>
      <w:tr w:rsidR="003C28C9" w14:paraId="5E56B700" w14:textId="77777777" w:rsidTr="00923E92">
        <w:tc>
          <w:tcPr>
            <w:tcW w:w="0" w:type="auto"/>
            <w:tcBorders>
              <w:top w:val="nil"/>
              <w:bottom w:val="nil"/>
              <w:right w:val="nil"/>
            </w:tcBorders>
          </w:tcPr>
          <w:p w14:paraId="0A934ACA" w14:textId="6A64F203" w:rsidR="00272673" w:rsidRPr="003C28C9" w:rsidRDefault="003C28C9" w:rsidP="00045E5D">
            <w:pPr>
              <w:widowControl w:val="0"/>
              <w:autoSpaceDE w:val="0"/>
              <w:autoSpaceDN w:val="0"/>
              <w:adjustRightInd w:val="0"/>
              <w:spacing w:after="40"/>
              <w:rPr>
                <w:sz w:val="20"/>
                <w:szCs w:val="20"/>
                <w:lang w:eastAsia="ja-JP"/>
              </w:rPr>
            </w:pPr>
            <w:r w:rsidRPr="003C28C9">
              <w:rPr>
                <w:sz w:val="20"/>
                <w:szCs w:val="20"/>
                <w:lang w:eastAsia="ja-JP"/>
              </w:rPr>
              <w:t>Diode Laser Hygrometer (DLH)</w:t>
            </w:r>
          </w:p>
        </w:tc>
        <w:tc>
          <w:tcPr>
            <w:tcW w:w="0" w:type="auto"/>
            <w:tcBorders>
              <w:top w:val="nil"/>
              <w:left w:val="nil"/>
              <w:bottom w:val="nil"/>
              <w:right w:val="nil"/>
            </w:tcBorders>
          </w:tcPr>
          <w:p w14:paraId="4FA8E892" w14:textId="7545A938"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 xml:space="preserve">G. </w:t>
            </w:r>
            <w:proofErr w:type="spellStart"/>
            <w:r>
              <w:rPr>
                <w:sz w:val="20"/>
                <w:szCs w:val="20"/>
                <w:lang w:eastAsia="ja-JP"/>
              </w:rPr>
              <w:t>Diskin</w:t>
            </w:r>
            <w:proofErr w:type="spellEnd"/>
          </w:p>
        </w:tc>
        <w:tc>
          <w:tcPr>
            <w:tcW w:w="0" w:type="auto"/>
            <w:tcBorders>
              <w:top w:val="nil"/>
              <w:left w:val="nil"/>
              <w:bottom w:val="nil"/>
              <w:right w:val="nil"/>
            </w:tcBorders>
          </w:tcPr>
          <w:p w14:paraId="1DEF03EE" w14:textId="0C79B65E"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NASA/</w:t>
            </w:r>
            <w:proofErr w:type="spellStart"/>
            <w:r>
              <w:rPr>
                <w:sz w:val="20"/>
                <w:szCs w:val="20"/>
                <w:lang w:eastAsia="ja-JP"/>
              </w:rPr>
              <w:t>LaRC</w:t>
            </w:r>
            <w:proofErr w:type="spellEnd"/>
          </w:p>
        </w:tc>
        <w:tc>
          <w:tcPr>
            <w:tcW w:w="0" w:type="auto"/>
            <w:tcBorders>
              <w:top w:val="nil"/>
              <w:left w:val="nil"/>
              <w:bottom w:val="nil"/>
              <w:right w:val="nil"/>
            </w:tcBorders>
          </w:tcPr>
          <w:p w14:paraId="75768199" w14:textId="3455F2B7"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H</w:t>
            </w:r>
            <w:r w:rsidRPr="00C4209B">
              <w:rPr>
                <w:sz w:val="20"/>
                <w:szCs w:val="20"/>
                <w:vertAlign w:val="subscript"/>
                <w:lang w:eastAsia="ja-JP"/>
              </w:rPr>
              <w:t>2</w:t>
            </w:r>
            <w:r>
              <w:rPr>
                <w:sz w:val="20"/>
                <w:szCs w:val="20"/>
                <w:lang w:eastAsia="ja-JP"/>
              </w:rPr>
              <w:t>O vapor</w:t>
            </w:r>
          </w:p>
        </w:tc>
      </w:tr>
      <w:tr w:rsidR="003C28C9" w14:paraId="2B6E0507" w14:textId="77777777" w:rsidTr="00923E92">
        <w:tc>
          <w:tcPr>
            <w:tcW w:w="0" w:type="auto"/>
            <w:tcBorders>
              <w:top w:val="nil"/>
              <w:bottom w:val="nil"/>
              <w:right w:val="nil"/>
            </w:tcBorders>
          </w:tcPr>
          <w:p w14:paraId="3FB774E9" w14:textId="604D23A8"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Hawkeye</w:t>
            </w:r>
          </w:p>
        </w:tc>
        <w:tc>
          <w:tcPr>
            <w:tcW w:w="0" w:type="auto"/>
            <w:tcBorders>
              <w:top w:val="nil"/>
              <w:left w:val="nil"/>
              <w:bottom w:val="nil"/>
              <w:right w:val="nil"/>
            </w:tcBorders>
          </w:tcPr>
          <w:p w14:paraId="7C0CD66C" w14:textId="0A5DC152"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P. Lawson</w:t>
            </w:r>
          </w:p>
        </w:tc>
        <w:tc>
          <w:tcPr>
            <w:tcW w:w="0" w:type="auto"/>
            <w:tcBorders>
              <w:top w:val="nil"/>
              <w:left w:val="nil"/>
              <w:bottom w:val="nil"/>
              <w:right w:val="nil"/>
            </w:tcBorders>
          </w:tcPr>
          <w:p w14:paraId="138AEDE4" w14:textId="49CE1FBC"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Spec, Inc.</w:t>
            </w:r>
          </w:p>
        </w:tc>
        <w:tc>
          <w:tcPr>
            <w:tcW w:w="0" w:type="auto"/>
            <w:tcBorders>
              <w:top w:val="nil"/>
              <w:left w:val="nil"/>
              <w:bottom w:val="nil"/>
              <w:right w:val="nil"/>
            </w:tcBorders>
          </w:tcPr>
          <w:p w14:paraId="53D4F2A8" w14:textId="7C868626"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Ice crystal size distributions, habits</w:t>
            </w:r>
          </w:p>
        </w:tc>
      </w:tr>
      <w:tr w:rsidR="003C28C9" w14:paraId="390E054A" w14:textId="77777777" w:rsidTr="00923E92">
        <w:tc>
          <w:tcPr>
            <w:tcW w:w="0" w:type="auto"/>
            <w:tcBorders>
              <w:top w:val="nil"/>
              <w:bottom w:val="nil"/>
              <w:right w:val="nil"/>
            </w:tcBorders>
          </w:tcPr>
          <w:p w14:paraId="36C3A9E5" w14:textId="4FD54A21"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Solar and infrared radiometers</w:t>
            </w:r>
          </w:p>
        </w:tc>
        <w:tc>
          <w:tcPr>
            <w:tcW w:w="0" w:type="auto"/>
            <w:tcBorders>
              <w:top w:val="nil"/>
              <w:left w:val="nil"/>
              <w:bottom w:val="nil"/>
              <w:right w:val="nil"/>
            </w:tcBorders>
          </w:tcPr>
          <w:p w14:paraId="0B59938E" w14:textId="4489A43D"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 xml:space="preserve">P. </w:t>
            </w:r>
            <w:proofErr w:type="spellStart"/>
            <w:r>
              <w:rPr>
                <w:sz w:val="20"/>
                <w:szCs w:val="20"/>
                <w:lang w:eastAsia="ja-JP"/>
              </w:rPr>
              <w:t>Pilewskie</w:t>
            </w:r>
            <w:proofErr w:type="spellEnd"/>
          </w:p>
        </w:tc>
        <w:tc>
          <w:tcPr>
            <w:tcW w:w="0" w:type="auto"/>
            <w:tcBorders>
              <w:top w:val="nil"/>
              <w:left w:val="nil"/>
              <w:bottom w:val="nil"/>
              <w:right w:val="nil"/>
            </w:tcBorders>
          </w:tcPr>
          <w:p w14:paraId="067E6E81" w14:textId="6F6E803D"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Univ. of Colorado</w:t>
            </w:r>
          </w:p>
        </w:tc>
        <w:tc>
          <w:tcPr>
            <w:tcW w:w="0" w:type="auto"/>
            <w:tcBorders>
              <w:top w:val="nil"/>
              <w:left w:val="nil"/>
              <w:bottom w:val="nil"/>
              <w:right w:val="nil"/>
            </w:tcBorders>
          </w:tcPr>
          <w:p w14:paraId="3B61FC04" w14:textId="21B96802"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 xml:space="preserve">Zenith and nadir </w:t>
            </w:r>
            <w:proofErr w:type="spellStart"/>
            <w:r>
              <w:rPr>
                <w:sz w:val="20"/>
                <w:szCs w:val="20"/>
                <w:lang w:eastAsia="ja-JP"/>
              </w:rPr>
              <w:t>radiative</w:t>
            </w:r>
            <w:proofErr w:type="spellEnd"/>
            <w:r>
              <w:rPr>
                <w:sz w:val="20"/>
                <w:szCs w:val="20"/>
                <w:lang w:eastAsia="ja-JP"/>
              </w:rPr>
              <w:t xml:space="preserve"> fluxes</w:t>
            </w:r>
          </w:p>
        </w:tc>
      </w:tr>
      <w:tr w:rsidR="003C28C9" w14:paraId="26BB49F5" w14:textId="77777777" w:rsidTr="00923E92">
        <w:tc>
          <w:tcPr>
            <w:tcW w:w="0" w:type="auto"/>
            <w:tcBorders>
              <w:top w:val="nil"/>
              <w:bottom w:val="nil"/>
              <w:right w:val="nil"/>
            </w:tcBorders>
          </w:tcPr>
          <w:p w14:paraId="69EDA792" w14:textId="60D7E845"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Meteorological Measurement System (MMS)</w:t>
            </w:r>
          </w:p>
        </w:tc>
        <w:tc>
          <w:tcPr>
            <w:tcW w:w="0" w:type="auto"/>
            <w:tcBorders>
              <w:top w:val="nil"/>
              <w:left w:val="nil"/>
              <w:bottom w:val="nil"/>
              <w:right w:val="nil"/>
            </w:tcBorders>
          </w:tcPr>
          <w:p w14:paraId="5D427503" w14:textId="55F68D36"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P. Bui</w:t>
            </w:r>
          </w:p>
        </w:tc>
        <w:tc>
          <w:tcPr>
            <w:tcW w:w="0" w:type="auto"/>
            <w:tcBorders>
              <w:top w:val="nil"/>
              <w:left w:val="nil"/>
              <w:bottom w:val="nil"/>
              <w:right w:val="nil"/>
            </w:tcBorders>
          </w:tcPr>
          <w:p w14:paraId="598FE049" w14:textId="6E942AE7"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NASA/ARC</w:t>
            </w:r>
          </w:p>
        </w:tc>
        <w:tc>
          <w:tcPr>
            <w:tcW w:w="0" w:type="auto"/>
            <w:tcBorders>
              <w:top w:val="nil"/>
              <w:left w:val="nil"/>
              <w:bottom w:val="nil"/>
              <w:right w:val="nil"/>
            </w:tcBorders>
          </w:tcPr>
          <w:p w14:paraId="7F9C3572" w14:textId="453EDB66"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Temperature, pressure, and winds</w:t>
            </w:r>
          </w:p>
        </w:tc>
      </w:tr>
      <w:tr w:rsidR="003C28C9" w14:paraId="681A648D" w14:textId="77777777" w:rsidTr="000928D0">
        <w:tc>
          <w:tcPr>
            <w:tcW w:w="0" w:type="auto"/>
            <w:tcBorders>
              <w:top w:val="nil"/>
              <w:bottom w:val="nil"/>
              <w:right w:val="nil"/>
            </w:tcBorders>
          </w:tcPr>
          <w:p w14:paraId="7A10F313" w14:textId="1773BF15"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Microwave Temperature Profiler (MTP)</w:t>
            </w:r>
          </w:p>
        </w:tc>
        <w:tc>
          <w:tcPr>
            <w:tcW w:w="0" w:type="auto"/>
            <w:tcBorders>
              <w:top w:val="nil"/>
              <w:left w:val="nil"/>
              <w:bottom w:val="nil"/>
              <w:right w:val="nil"/>
            </w:tcBorders>
          </w:tcPr>
          <w:p w14:paraId="774A0D25" w14:textId="4E76591A"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M. Mahoney</w:t>
            </w:r>
          </w:p>
        </w:tc>
        <w:tc>
          <w:tcPr>
            <w:tcW w:w="0" w:type="auto"/>
            <w:tcBorders>
              <w:top w:val="nil"/>
              <w:left w:val="nil"/>
              <w:bottom w:val="nil"/>
              <w:right w:val="nil"/>
            </w:tcBorders>
          </w:tcPr>
          <w:p w14:paraId="6EE73E59" w14:textId="2D45176F"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JPL</w:t>
            </w:r>
          </w:p>
        </w:tc>
        <w:tc>
          <w:tcPr>
            <w:tcW w:w="0" w:type="auto"/>
            <w:tcBorders>
              <w:top w:val="nil"/>
              <w:left w:val="nil"/>
              <w:bottom w:val="nil"/>
              <w:right w:val="nil"/>
            </w:tcBorders>
          </w:tcPr>
          <w:p w14:paraId="384FCA8D" w14:textId="4EA0C0C2"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Temperature profile</w:t>
            </w:r>
          </w:p>
        </w:tc>
      </w:tr>
      <w:tr w:rsidR="003C28C9" w14:paraId="32EDFF76" w14:textId="77777777" w:rsidTr="000928D0">
        <w:tc>
          <w:tcPr>
            <w:tcW w:w="0" w:type="auto"/>
            <w:tcBorders>
              <w:top w:val="nil"/>
              <w:bottom w:val="single" w:sz="4" w:space="0" w:color="auto"/>
              <w:right w:val="nil"/>
            </w:tcBorders>
          </w:tcPr>
          <w:p w14:paraId="5790738D" w14:textId="080FBE9A"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Absorption Spectrometer (DOAS)</w:t>
            </w:r>
          </w:p>
        </w:tc>
        <w:tc>
          <w:tcPr>
            <w:tcW w:w="0" w:type="auto"/>
            <w:tcBorders>
              <w:top w:val="nil"/>
              <w:left w:val="nil"/>
              <w:bottom w:val="single" w:sz="4" w:space="0" w:color="auto"/>
              <w:right w:val="nil"/>
            </w:tcBorders>
          </w:tcPr>
          <w:p w14:paraId="5BADCB80" w14:textId="5F0FD18A"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Stutz/</w:t>
            </w:r>
            <w:proofErr w:type="spellStart"/>
            <w:r>
              <w:rPr>
                <w:sz w:val="20"/>
                <w:szCs w:val="20"/>
                <w:lang w:eastAsia="ja-JP"/>
              </w:rPr>
              <w:t>Pfeilsticker</w:t>
            </w:r>
            <w:proofErr w:type="spellEnd"/>
          </w:p>
        </w:tc>
        <w:tc>
          <w:tcPr>
            <w:tcW w:w="0" w:type="auto"/>
            <w:tcBorders>
              <w:top w:val="nil"/>
              <w:left w:val="nil"/>
              <w:bottom w:val="single" w:sz="4" w:space="0" w:color="auto"/>
              <w:right w:val="nil"/>
            </w:tcBorders>
          </w:tcPr>
          <w:p w14:paraId="3564E131" w14:textId="7CE692CA" w:rsidR="00272673" w:rsidRPr="003C28C9" w:rsidRDefault="00C4209B" w:rsidP="00045E5D">
            <w:pPr>
              <w:widowControl w:val="0"/>
              <w:autoSpaceDE w:val="0"/>
              <w:autoSpaceDN w:val="0"/>
              <w:adjustRightInd w:val="0"/>
              <w:spacing w:after="40"/>
              <w:rPr>
                <w:sz w:val="20"/>
                <w:szCs w:val="20"/>
                <w:lang w:eastAsia="ja-JP"/>
              </w:rPr>
            </w:pPr>
            <w:r>
              <w:rPr>
                <w:sz w:val="20"/>
                <w:szCs w:val="20"/>
                <w:lang w:eastAsia="ja-JP"/>
              </w:rPr>
              <w:t>UCLA/Univ. Heidelberg</w:t>
            </w:r>
          </w:p>
        </w:tc>
        <w:tc>
          <w:tcPr>
            <w:tcW w:w="0" w:type="auto"/>
            <w:tcBorders>
              <w:top w:val="nil"/>
              <w:left w:val="nil"/>
              <w:bottom w:val="single" w:sz="4" w:space="0" w:color="auto"/>
              <w:right w:val="nil"/>
            </w:tcBorders>
          </w:tcPr>
          <w:p w14:paraId="7A1FD9A8" w14:textId="716CF967" w:rsidR="00923E92" w:rsidRDefault="00C4209B" w:rsidP="00045E5D">
            <w:pPr>
              <w:widowControl w:val="0"/>
              <w:autoSpaceDE w:val="0"/>
              <w:autoSpaceDN w:val="0"/>
              <w:adjustRightInd w:val="0"/>
              <w:spacing w:after="40"/>
              <w:rPr>
                <w:sz w:val="20"/>
                <w:szCs w:val="20"/>
                <w:lang w:eastAsia="ja-JP"/>
              </w:rPr>
            </w:pPr>
            <w:proofErr w:type="spellStart"/>
            <w:r>
              <w:rPr>
                <w:sz w:val="20"/>
                <w:szCs w:val="20"/>
                <w:lang w:eastAsia="ja-JP"/>
              </w:rPr>
              <w:t>BrO</w:t>
            </w:r>
            <w:proofErr w:type="spellEnd"/>
            <w:r>
              <w:rPr>
                <w:sz w:val="20"/>
                <w:szCs w:val="20"/>
                <w:lang w:eastAsia="ja-JP"/>
              </w:rPr>
              <w:t>, NO</w:t>
            </w:r>
            <w:r w:rsidRPr="00C4209B">
              <w:rPr>
                <w:sz w:val="20"/>
                <w:szCs w:val="20"/>
                <w:vertAlign w:val="subscript"/>
                <w:lang w:eastAsia="ja-JP"/>
              </w:rPr>
              <w:t>2</w:t>
            </w:r>
            <w:r>
              <w:rPr>
                <w:sz w:val="20"/>
                <w:szCs w:val="20"/>
                <w:lang w:eastAsia="ja-JP"/>
              </w:rPr>
              <w:t>, OCLO, IO</w:t>
            </w:r>
          </w:p>
          <w:p w14:paraId="7CA8D961" w14:textId="77777777" w:rsidR="00272673" w:rsidRPr="00923E92" w:rsidRDefault="00272673" w:rsidP="00923E92">
            <w:pPr>
              <w:jc w:val="right"/>
              <w:rPr>
                <w:sz w:val="20"/>
                <w:szCs w:val="20"/>
                <w:lang w:eastAsia="ja-JP"/>
              </w:rPr>
            </w:pPr>
          </w:p>
        </w:tc>
      </w:tr>
    </w:tbl>
    <w:p w14:paraId="709CD8FC" w14:textId="77777777" w:rsidR="00272673" w:rsidRPr="00FE7D0D" w:rsidRDefault="00272673" w:rsidP="00974228">
      <w:pPr>
        <w:widowControl w:val="0"/>
        <w:autoSpaceDE w:val="0"/>
        <w:autoSpaceDN w:val="0"/>
        <w:adjustRightInd w:val="0"/>
        <w:spacing w:after="240"/>
        <w:rPr>
          <w:lang w:eastAsia="ja-JP"/>
        </w:rPr>
      </w:pPr>
    </w:p>
    <w:p w14:paraId="35639296" w14:textId="10CDC572" w:rsidR="00437D81" w:rsidRDefault="00437D81" w:rsidP="00974228">
      <w:pPr>
        <w:widowControl w:val="0"/>
        <w:autoSpaceDE w:val="0"/>
        <w:autoSpaceDN w:val="0"/>
        <w:adjustRightInd w:val="0"/>
        <w:spacing w:after="240"/>
        <w:rPr>
          <w:lang w:eastAsia="ja-JP"/>
        </w:rPr>
      </w:pPr>
      <w:r>
        <w:rPr>
          <w:lang w:eastAsia="ja-JP"/>
        </w:rPr>
        <w:t xml:space="preserve">Water vapor is arguably the most important measurement for addressing the ATTREX science questions.  The very dry conditions present in the tropical </w:t>
      </w:r>
      <w:proofErr w:type="spellStart"/>
      <w:r>
        <w:rPr>
          <w:lang w:eastAsia="ja-JP"/>
        </w:rPr>
        <w:t>tropopause</w:t>
      </w:r>
      <w:proofErr w:type="spellEnd"/>
      <w:r>
        <w:rPr>
          <w:lang w:eastAsia="ja-JP"/>
        </w:rPr>
        <w:t xml:space="preserve"> region (H</w:t>
      </w:r>
      <w:r w:rsidRPr="00437D81">
        <w:rPr>
          <w:vertAlign w:val="subscript"/>
          <w:lang w:eastAsia="ja-JP"/>
        </w:rPr>
        <w:t>2</w:t>
      </w:r>
      <w:r>
        <w:rPr>
          <w:lang w:eastAsia="ja-JP"/>
        </w:rPr>
        <w:t xml:space="preserve">O concentrations as low as ~1 </w:t>
      </w:r>
      <w:proofErr w:type="spellStart"/>
      <w:r>
        <w:rPr>
          <w:lang w:eastAsia="ja-JP"/>
        </w:rPr>
        <w:t>ppmv</w:t>
      </w:r>
      <w:proofErr w:type="spellEnd"/>
      <w:r>
        <w:rPr>
          <w:lang w:eastAsia="ja-JP"/>
        </w:rPr>
        <w:t xml:space="preserve">) </w:t>
      </w:r>
      <w:r w:rsidRPr="00437D81">
        <w:rPr>
          <w:lang w:eastAsia="ja-JP"/>
        </w:rPr>
        <w:t>represent</w:t>
      </w:r>
      <w:r>
        <w:rPr>
          <w:lang w:eastAsia="ja-JP"/>
        </w:rPr>
        <w:t xml:space="preserve"> a significant challenge for accurately measuring water vapor.  Discrepancies between water vapor concentrations measured with different instruments has plagued past attempts to measure stratospheric water (SPARC 2000, Weinstock et al., 2009).  At the very dry conditions associated with the cold Boreal wintertime tropical </w:t>
      </w:r>
      <w:proofErr w:type="spellStart"/>
      <w:r>
        <w:rPr>
          <w:lang w:eastAsia="ja-JP"/>
        </w:rPr>
        <w:t>tropopause</w:t>
      </w:r>
      <w:proofErr w:type="spellEnd"/>
      <w:r>
        <w:rPr>
          <w:lang w:eastAsia="ja-JP"/>
        </w:rPr>
        <w:t>, the discrepancies have been as large as a factor of two in water vapor concentration.</w:t>
      </w:r>
    </w:p>
    <w:p w14:paraId="1158A565" w14:textId="409AF57B" w:rsidR="00437D81" w:rsidRPr="008F7985" w:rsidRDefault="00437D81" w:rsidP="00974228">
      <w:pPr>
        <w:widowControl w:val="0"/>
        <w:autoSpaceDE w:val="0"/>
        <w:autoSpaceDN w:val="0"/>
        <w:adjustRightInd w:val="0"/>
        <w:spacing w:after="240"/>
        <w:rPr>
          <w:color w:val="0000FF"/>
          <w:lang w:eastAsia="ja-JP"/>
        </w:rPr>
      </w:pPr>
      <w:r w:rsidRPr="008F7985">
        <w:rPr>
          <w:color w:val="0000FF"/>
          <w:lang w:eastAsia="ja-JP"/>
        </w:rPr>
        <w:t>[</w:t>
      </w:r>
      <w:proofErr w:type="spellStart"/>
      <w:proofErr w:type="gramStart"/>
      <w:r w:rsidRPr="008F7985">
        <w:rPr>
          <w:color w:val="0000FF"/>
          <w:lang w:eastAsia="ja-JP"/>
        </w:rPr>
        <w:t>para</w:t>
      </w:r>
      <w:proofErr w:type="spellEnd"/>
      <w:proofErr w:type="gramEnd"/>
      <w:r w:rsidRPr="008F7985">
        <w:rPr>
          <w:color w:val="0000FF"/>
          <w:lang w:eastAsia="ja-JP"/>
        </w:rPr>
        <w:t xml:space="preserve"> on recent developments (Aquavit, MACPEX (Rollins </w:t>
      </w:r>
      <w:r w:rsidR="00923E92" w:rsidRPr="008F7985">
        <w:rPr>
          <w:color w:val="0000FF"/>
          <w:lang w:eastAsia="ja-JP"/>
        </w:rPr>
        <w:t>et al. paper)); accuracy adequate for science objectives?</w:t>
      </w:r>
      <w:r w:rsidRPr="008F7985">
        <w:rPr>
          <w:color w:val="0000FF"/>
          <w:lang w:eastAsia="ja-JP"/>
        </w:rPr>
        <w:t xml:space="preserve"> Dave?]</w:t>
      </w:r>
    </w:p>
    <w:p w14:paraId="4E6182C7" w14:textId="33B06452" w:rsidR="00437D81" w:rsidRDefault="00437D81" w:rsidP="00974228">
      <w:pPr>
        <w:widowControl w:val="0"/>
        <w:autoSpaceDE w:val="0"/>
        <w:autoSpaceDN w:val="0"/>
        <w:adjustRightInd w:val="0"/>
        <w:spacing w:after="240"/>
        <w:rPr>
          <w:lang w:eastAsia="ja-JP"/>
        </w:rPr>
      </w:pPr>
      <w:r>
        <w:rPr>
          <w:lang w:eastAsia="ja-JP"/>
        </w:rPr>
        <w:t xml:space="preserve">The ATTREX payload includes two hygrometers with particular strengths that complement each other.  The NOAA water instrument </w:t>
      </w:r>
      <w:r w:rsidR="004063C9">
        <w:rPr>
          <w:lang w:eastAsia="ja-JP"/>
        </w:rPr>
        <w:t xml:space="preserve">(added to the payload in 2013) </w:t>
      </w:r>
      <w:r w:rsidR="00DB0E85">
        <w:rPr>
          <w:lang w:eastAsia="ja-JP"/>
        </w:rPr>
        <w:t>provides</w:t>
      </w:r>
      <w:r>
        <w:rPr>
          <w:lang w:eastAsia="ja-JP"/>
        </w:rPr>
        <w:t xml:space="preserve"> an internal </w:t>
      </w:r>
      <w:r w:rsidR="00DB0E85">
        <w:rPr>
          <w:lang w:eastAsia="ja-JP"/>
        </w:rPr>
        <w:t xml:space="preserve">tunable-diode laser (TDL) </w:t>
      </w:r>
      <w:r>
        <w:rPr>
          <w:lang w:eastAsia="ja-JP"/>
        </w:rPr>
        <w:t xml:space="preserve">measurement that includes the inflight calibration system used on the CIMS instrument during MACPEX.  </w:t>
      </w:r>
      <w:r w:rsidR="00605B6D">
        <w:rPr>
          <w:lang w:eastAsia="ja-JP"/>
        </w:rPr>
        <w:t>C</w:t>
      </w:r>
      <w:r>
        <w:rPr>
          <w:lang w:eastAsia="ja-JP"/>
        </w:rPr>
        <w:t>alibration in flight avoids the uncertainty associated with extra</w:t>
      </w:r>
      <w:r w:rsidR="00DB0E85">
        <w:rPr>
          <w:lang w:eastAsia="ja-JP"/>
        </w:rPr>
        <w:t xml:space="preserve">polating ground-based calibrations to the in-flight conditions.  The Diode Laser Hygrometer (DLH) provides an external TDL measurement by firing a laser from the </w:t>
      </w:r>
      <w:proofErr w:type="spellStart"/>
      <w:r w:rsidR="00FA3D30">
        <w:rPr>
          <w:lang w:eastAsia="ja-JP"/>
        </w:rPr>
        <w:t>fues</w:t>
      </w:r>
      <w:r w:rsidR="00DB0E85">
        <w:rPr>
          <w:lang w:eastAsia="ja-JP"/>
        </w:rPr>
        <w:t>lage</w:t>
      </w:r>
      <w:proofErr w:type="spellEnd"/>
      <w:r w:rsidR="00DB0E85">
        <w:rPr>
          <w:lang w:eastAsia="ja-JP"/>
        </w:rPr>
        <w:t xml:space="preserve"> to a reflector on the wing and measuring the return signal.  The path length </w:t>
      </w:r>
      <w:r w:rsidR="00714078">
        <w:rPr>
          <w:lang w:eastAsia="ja-JP"/>
        </w:rPr>
        <w:t>(12.2</w:t>
      </w:r>
      <w:r w:rsidR="004063C9">
        <w:rPr>
          <w:lang w:eastAsia="ja-JP"/>
        </w:rPr>
        <w:t xml:space="preserve"> m) is long enough </w:t>
      </w:r>
      <w:r w:rsidR="00D47EA7">
        <w:rPr>
          <w:lang w:eastAsia="ja-JP"/>
        </w:rPr>
        <w:t>to provide a</w:t>
      </w:r>
      <w:r w:rsidR="00DB0E85">
        <w:rPr>
          <w:lang w:eastAsia="ja-JP"/>
        </w:rPr>
        <w:t xml:space="preserve"> precise, fast measurement of water vapor.  The precision is sufficient to permit detection of </w:t>
      </w:r>
      <w:r w:rsidR="00605B6D">
        <w:rPr>
          <w:lang w:eastAsia="ja-JP"/>
        </w:rPr>
        <w:t xml:space="preserve">fine </w:t>
      </w:r>
      <w:r w:rsidR="00714078">
        <w:rPr>
          <w:lang w:eastAsia="ja-JP"/>
        </w:rPr>
        <w:t xml:space="preserve">structure in the TTL </w:t>
      </w:r>
      <w:r w:rsidR="00DB0E85">
        <w:rPr>
          <w:lang w:eastAsia="ja-JP"/>
        </w:rPr>
        <w:t xml:space="preserve">water vapor </w:t>
      </w:r>
      <w:r w:rsidR="00714078">
        <w:rPr>
          <w:lang w:eastAsia="ja-JP"/>
        </w:rPr>
        <w:t>field even</w:t>
      </w:r>
      <w:r w:rsidR="00B3062E">
        <w:rPr>
          <w:lang w:eastAsia="ja-JP"/>
        </w:rPr>
        <w:t xml:space="preserve"> at </w:t>
      </w:r>
      <w:r w:rsidR="00605B6D">
        <w:rPr>
          <w:lang w:eastAsia="ja-JP"/>
        </w:rPr>
        <w:t xml:space="preserve">a data rate of </w:t>
      </w:r>
      <w:r w:rsidR="00B3062E">
        <w:rPr>
          <w:lang w:eastAsia="ja-JP"/>
        </w:rPr>
        <w:t>100 Hz (corresponding to 1.7</w:t>
      </w:r>
      <w:r w:rsidR="00DB0E85">
        <w:rPr>
          <w:lang w:eastAsia="ja-JP"/>
        </w:rPr>
        <w:t>-m horizontal resolution along the flight path</w:t>
      </w:r>
      <w:r w:rsidR="004063C9">
        <w:rPr>
          <w:lang w:eastAsia="ja-JP"/>
        </w:rPr>
        <w:t xml:space="preserve"> for a typical GH speed of </w:t>
      </w:r>
      <w:r w:rsidR="00B3062E">
        <w:rPr>
          <w:lang w:eastAsia="ja-JP"/>
        </w:rPr>
        <w:t>172</w:t>
      </w:r>
      <w:r w:rsidR="004063C9">
        <w:rPr>
          <w:lang w:eastAsia="ja-JP"/>
        </w:rPr>
        <w:t xml:space="preserve"> m s</w:t>
      </w:r>
      <w:r w:rsidR="004063C9">
        <w:rPr>
          <w:vertAlign w:val="superscript"/>
          <w:lang w:eastAsia="ja-JP"/>
        </w:rPr>
        <w:t>-1</w:t>
      </w:r>
      <w:r w:rsidR="00DB0E85">
        <w:rPr>
          <w:lang w:eastAsia="ja-JP"/>
        </w:rPr>
        <w:t>).</w:t>
      </w:r>
    </w:p>
    <w:p w14:paraId="43D60577" w14:textId="13566553" w:rsidR="00685D14" w:rsidRDefault="00685D14" w:rsidP="00974228">
      <w:pPr>
        <w:widowControl w:val="0"/>
        <w:autoSpaceDE w:val="0"/>
        <w:autoSpaceDN w:val="0"/>
        <w:adjustRightInd w:val="0"/>
        <w:spacing w:after="240"/>
        <w:rPr>
          <w:lang w:eastAsia="ja-JP"/>
        </w:rPr>
      </w:pPr>
      <w:r>
        <w:rPr>
          <w:lang w:eastAsia="ja-JP"/>
        </w:rPr>
        <w:t>The ATTREX plan calls for use of the Hawkeye instrument for cloud measurements.  Hawkeye is a combination</w:t>
      </w:r>
      <w:r w:rsidR="004063C9">
        <w:rPr>
          <w:lang w:eastAsia="ja-JP"/>
        </w:rPr>
        <w:t xml:space="preserve"> of two</w:t>
      </w:r>
      <w:r>
        <w:rPr>
          <w:lang w:eastAsia="ja-JP"/>
        </w:rPr>
        <w:t xml:space="preserve"> imaging instruments (equivalent to the 2-Dimensional Stereo (2D-S) and Cloud Particle Imager </w:t>
      </w:r>
      <w:r w:rsidR="004063C9">
        <w:rPr>
          <w:lang w:eastAsia="ja-JP"/>
        </w:rPr>
        <w:t>(</w:t>
      </w:r>
      <w:r>
        <w:rPr>
          <w:lang w:eastAsia="ja-JP"/>
        </w:rPr>
        <w:t>CPI</w:t>
      </w:r>
      <w:r w:rsidR="004063C9">
        <w:rPr>
          <w:lang w:eastAsia="ja-JP"/>
        </w:rPr>
        <w:t>)</w:t>
      </w:r>
      <w:r>
        <w:rPr>
          <w:lang w:eastAsia="ja-JP"/>
        </w:rPr>
        <w:t>) and a spectrometer (equivalent to the Forward Scatte</w:t>
      </w:r>
      <w:r w:rsidR="004063C9">
        <w:rPr>
          <w:lang w:eastAsia="ja-JP"/>
        </w:rPr>
        <w:t xml:space="preserve">ring Spectrometer Probe (FSSP)), all of which have been </w:t>
      </w:r>
      <w:r>
        <w:rPr>
          <w:lang w:eastAsia="ja-JP"/>
        </w:rPr>
        <w:t>used in the past for airborne cloud measurements.  Since engineering work for the Hawkeye wing mount</w:t>
      </w:r>
      <w:r w:rsidR="00436149">
        <w:rPr>
          <w:lang w:eastAsia="ja-JP"/>
        </w:rPr>
        <w:t xml:space="preserve"> on the Global Hawk</w:t>
      </w:r>
      <w:r>
        <w:rPr>
          <w:lang w:eastAsia="ja-JP"/>
        </w:rPr>
        <w:t xml:space="preserve"> </w:t>
      </w:r>
      <w:r w:rsidR="00436149">
        <w:rPr>
          <w:lang w:eastAsia="ja-JP"/>
        </w:rPr>
        <w:t>was not included in time</w:t>
      </w:r>
      <w:r>
        <w:rPr>
          <w:lang w:eastAsia="ja-JP"/>
        </w:rPr>
        <w:t xml:space="preserve">, the Fast Cloud Droplet Probe (FCDP) was flown during the 2011 and 2013 flights.  The FCDP is </w:t>
      </w:r>
      <w:r w:rsidR="00E03250">
        <w:rPr>
          <w:lang w:eastAsia="ja-JP"/>
        </w:rPr>
        <w:t xml:space="preserve">similar to the FSSP in that it measures the scattering from individual cloud particles.  The FCDP was designed for measuring water droplets, and the uncertainty associated with sizing non-spherical ice crystals is not well quantified.  However, the instrument provides accurate measurements of ice concentration in cirrus clouds. </w:t>
      </w:r>
      <w:r w:rsidR="00F11436">
        <w:rPr>
          <w:lang w:eastAsia="ja-JP"/>
        </w:rPr>
        <w:t xml:space="preserve"> </w:t>
      </w:r>
      <w:r w:rsidR="004063C9">
        <w:rPr>
          <w:lang w:eastAsia="ja-JP"/>
        </w:rPr>
        <w:t>The cloud measurements, along with the water vapor and temperature measurements, will be used to test our theoretical understanding of ice nucleation and ice crystal deposition growth.  These processes control TTL cirrus formation and dehydration of air entering the stratosphere.</w:t>
      </w:r>
    </w:p>
    <w:p w14:paraId="0895225D" w14:textId="65747DD1" w:rsidR="00E03250" w:rsidRPr="00715E09" w:rsidRDefault="00E1221A" w:rsidP="00974228">
      <w:pPr>
        <w:widowControl w:val="0"/>
        <w:autoSpaceDE w:val="0"/>
        <w:autoSpaceDN w:val="0"/>
        <w:adjustRightInd w:val="0"/>
        <w:spacing w:after="240"/>
        <w:rPr>
          <w:lang w:eastAsia="ja-JP"/>
        </w:rPr>
      </w:pPr>
      <w:r>
        <w:rPr>
          <w:lang w:eastAsia="ja-JP"/>
        </w:rPr>
        <w:t xml:space="preserve">The ATTREX </w:t>
      </w:r>
      <w:r w:rsidR="00715E09">
        <w:rPr>
          <w:lang w:eastAsia="ja-JP"/>
        </w:rPr>
        <w:t xml:space="preserve">payload </w:t>
      </w:r>
      <w:r w:rsidR="00E03250">
        <w:rPr>
          <w:lang w:eastAsia="ja-JP"/>
        </w:rPr>
        <w:t xml:space="preserve">provides a number of </w:t>
      </w:r>
      <w:r>
        <w:rPr>
          <w:lang w:eastAsia="ja-JP"/>
        </w:rPr>
        <w:t xml:space="preserve">tracer measurements </w:t>
      </w:r>
      <w:r w:rsidR="00E03250">
        <w:rPr>
          <w:lang w:eastAsia="ja-JP"/>
        </w:rPr>
        <w:t xml:space="preserve">that </w:t>
      </w:r>
      <w:r>
        <w:rPr>
          <w:lang w:eastAsia="ja-JP"/>
        </w:rPr>
        <w:t>will be used to quantify transport pathways and time scales into and through the TTL.  High temporal and spatial resolution measurements of basic tracers</w:t>
      </w:r>
      <w:r w:rsidR="00715E09">
        <w:rPr>
          <w:lang w:eastAsia="ja-JP"/>
        </w:rPr>
        <w:t xml:space="preserve"> </w:t>
      </w:r>
      <w:r>
        <w:rPr>
          <w:lang w:eastAsia="ja-JP"/>
        </w:rPr>
        <w:t xml:space="preserve">are </w:t>
      </w:r>
      <w:r w:rsidR="004063C9">
        <w:rPr>
          <w:lang w:eastAsia="ja-JP"/>
        </w:rPr>
        <w:t>included:</w:t>
      </w:r>
      <w:r>
        <w:rPr>
          <w:lang w:eastAsia="ja-JP"/>
        </w:rPr>
        <w:t xml:space="preserve">  </w:t>
      </w:r>
      <w:r w:rsidR="00E03250">
        <w:rPr>
          <w:lang w:eastAsia="ja-JP"/>
        </w:rPr>
        <w:t>The NOAA O</w:t>
      </w:r>
      <w:r w:rsidR="00E03250" w:rsidRPr="00715E09">
        <w:rPr>
          <w:vertAlign w:val="subscript"/>
          <w:lang w:eastAsia="ja-JP"/>
        </w:rPr>
        <w:t>3</w:t>
      </w:r>
      <w:r w:rsidR="00E03250">
        <w:rPr>
          <w:lang w:eastAsia="ja-JP"/>
        </w:rPr>
        <w:t xml:space="preserve"> </w:t>
      </w:r>
      <w:r w:rsidR="00715E09">
        <w:rPr>
          <w:lang w:eastAsia="ja-JP"/>
        </w:rPr>
        <w:t>instrument</w:t>
      </w:r>
      <w:r w:rsidR="00E03250">
        <w:rPr>
          <w:lang w:eastAsia="ja-JP"/>
        </w:rPr>
        <w:t xml:space="preserve"> is a dual-beam UV absorption photometer</w:t>
      </w:r>
      <w:r w:rsidR="00715E09">
        <w:rPr>
          <w:lang w:eastAsia="ja-JP"/>
        </w:rPr>
        <w:t xml:space="preserve"> that provides 1-Hz ozone measurements.  The Harvard University </w:t>
      </w:r>
      <w:proofErr w:type="spellStart"/>
      <w:r w:rsidR="00715E09">
        <w:rPr>
          <w:lang w:eastAsia="ja-JP"/>
        </w:rPr>
        <w:t>Picarro</w:t>
      </w:r>
      <w:proofErr w:type="spellEnd"/>
      <w:r w:rsidR="00715E09">
        <w:rPr>
          <w:lang w:eastAsia="ja-JP"/>
        </w:rPr>
        <w:t xml:space="preserve"> </w:t>
      </w:r>
      <w:proofErr w:type="spellStart"/>
      <w:r w:rsidR="00715E09">
        <w:rPr>
          <w:lang w:eastAsia="ja-JP"/>
        </w:rPr>
        <w:t>Ringdown</w:t>
      </w:r>
      <w:proofErr w:type="spellEnd"/>
      <w:r w:rsidR="00715E09">
        <w:rPr>
          <w:lang w:eastAsia="ja-JP"/>
        </w:rPr>
        <w:t xml:space="preserve"> System (HUPCRS) provides precise, stable measurements of CO</w:t>
      </w:r>
      <w:r w:rsidR="00715E09">
        <w:rPr>
          <w:vertAlign w:val="subscript"/>
          <w:lang w:eastAsia="ja-JP"/>
        </w:rPr>
        <w:t>2</w:t>
      </w:r>
      <w:r w:rsidR="00715E09">
        <w:rPr>
          <w:lang w:eastAsia="ja-JP"/>
        </w:rPr>
        <w:t xml:space="preserve"> and CH</w:t>
      </w:r>
      <w:r w:rsidR="00715E09">
        <w:rPr>
          <w:vertAlign w:val="subscript"/>
          <w:lang w:eastAsia="ja-JP"/>
        </w:rPr>
        <w:t>4</w:t>
      </w:r>
      <w:r w:rsidR="00715E09">
        <w:rPr>
          <w:lang w:eastAsia="ja-JP"/>
        </w:rPr>
        <w:t xml:space="preserve">.  The HUPCRS also includes a CO channel that should provide useful data with some averaging.  </w:t>
      </w:r>
      <w:r w:rsidR="00715E09" w:rsidRPr="008F7985">
        <w:rPr>
          <w:color w:val="0000FF"/>
          <w:lang w:eastAsia="ja-JP"/>
        </w:rPr>
        <w:t>[</w:t>
      </w:r>
      <w:proofErr w:type="gramStart"/>
      <w:r w:rsidR="00715E09" w:rsidRPr="008F7985">
        <w:rPr>
          <w:color w:val="0000FF"/>
          <w:lang w:eastAsia="ja-JP"/>
        </w:rPr>
        <w:t>specify</w:t>
      </w:r>
      <w:proofErr w:type="gramEnd"/>
      <w:r w:rsidR="004063C9" w:rsidRPr="008F7985">
        <w:rPr>
          <w:color w:val="0000FF"/>
          <w:lang w:eastAsia="ja-JP"/>
        </w:rPr>
        <w:t>; discuss contamination issue and resolution</w:t>
      </w:r>
      <w:r w:rsidR="00715E09" w:rsidRPr="008F7985">
        <w:rPr>
          <w:color w:val="0000FF"/>
          <w:lang w:eastAsia="ja-JP"/>
        </w:rPr>
        <w:t xml:space="preserve">] </w:t>
      </w:r>
      <w:r w:rsidR="00715E09">
        <w:rPr>
          <w:lang w:eastAsia="ja-JP"/>
        </w:rPr>
        <w:t xml:space="preserve"> The UAS Chromatograph for Atmospheric Trace Species (UCATS) provides measurements of N</w:t>
      </w:r>
      <w:r w:rsidR="00715E09">
        <w:rPr>
          <w:vertAlign w:val="subscript"/>
          <w:lang w:eastAsia="ja-JP"/>
        </w:rPr>
        <w:t>2</w:t>
      </w:r>
      <w:r w:rsidR="00715E09">
        <w:rPr>
          <w:lang w:eastAsia="ja-JP"/>
        </w:rPr>
        <w:t>O, SF</w:t>
      </w:r>
      <w:r w:rsidR="00715E09">
        <w:rPr>
          <w:vertAlign w:val="subscript"/>
          <w:lang w:eastAsia="ja-JP"/>
        </w:rPr>
        <w:t>6</w:t>
      </w:r>
      <w:r w:rsidR="00715E09">
        <w:rPr>
          <w:lang w:eastAsia="ja-JP"/>
        </w:rPr>
        <w:t>, H</w:t>
      </w:r>
      <w:r w:rsidR="00715E09">
        <w:rPr>
          <w:vertAlign w:val="subscript"/>
          <w:lang w:eastAsia="ja-JP"/>
        </w:rPr>
        <w:t>2</w:t>
      </w:r>
      <w:r w:rsidR="00715E09">
        <w:rPr>
          <w:lang w:eastAsia="ja-JP"/>
        </w:rPr>
        <w:t>, CO (tropospheric), and CH</w:t>
      </w:r>
      <w:r w:rsidR="00715E09">
        <w:rPr>
          <w:vertAlign w:val="subscript"/>
          <w:lang w:eastAsia="ja-JP"/>
        </w:rPr>
        <w:t>4</w:t>
      </w:r>
      <w:r w:rsidR="00715E09">
        <w:rPr>
          <w:lang w:eastAsia="ja-JP"/>
        </w:rPr>
        <w:t>, as well as additional measurements of ozone and water vapor.</w:t>
      </w:r>
    </w:p>
    <w:p w14:paraId="6243C0D0" w14:textId="549B356C" w:rsidR="0084526E" w:rsidRPr="004063C9" w:rsidRDefault="00715E09" w:rsidP="00974228">
      <w:pPr>
        <w:widowControl w:val="0"/>
        <w:autoSpaceDE w:val="0"/>
        <w:autoSpaceDN w:val="0"/>
        <w:adjustRightInd w:val="0"/>
        <w:spacing w:after="240"/>
        <w:rPr>
          <w:rFonts w:ascii="Times" w:hAnsi="Times" w:cs="Times"/>
          <w:lang w:eastAsia="ja-JP"/>
        </w:rPr>
      </w:pPr>
      <w:r>
        <w:rPr>
          <w:lang w:eastAsia="ja-JP"/>
        </w:rPr>
        <w:t>The Global Hawk Whole Air S</w:t>
      </w:r>
      <w:r w:rsidR="00E1221A">
        <w:rPr>
          <w:lang w:eastAsia="ja-JP"/>
        </w:rPr>
        <w:t>ampler (GWAS)</w:t>
      </w:r>
      <w:r w:rsidR="00E844BF">
        <w:rPr>
          <w:lang w:eastAsia="ja-JP"/>
        </w:rPr>
        <w:t xml:space="preserve"> </w:t>
      </w:r>
      <w:r w:rsidR="00BF51CE">
        <w:rPr>
          <w:lang w:eastAsia="ja-JP"/>
        </w:rPr>
        <w:t>consists of 90 gas can samples</w:t>
      </w:r>
      <w:r w:rsidR="00270235">
        <w:rPr>
          <w:lang w:eastAsia="ja-JP"/>
        </w:rPr>
        <w:t xml:space="preserve"> that are spaced</w:t>
      </w:r>
      <w:r w:rsidR="00BF51CE">
        <w:rPr>
          <w:lang w:eastAsia="ja-JP"/>
        </w:rPr>
        <w:t xml:space="preserve"> throughout</w:t>
      </w:r>
      <w:r w:rsidR="00B57268">
        <w:rPr>
          <w:lang w:eastAsia="ja-JP"/>
        </w:rPr>
        <w:t xml:space="preserve"> each flight</w:t>
      </w:r>
      <w:r w:rsidR="00BF51CE">
        <w:rPr>
          <w:lang w:eastAsia="ja-JP"/>
        </w:rPr>
        <w:t xml:space="preserve">.  </w:t>
      </w:r>
      <w:r w:rsidR="00B57268">
        <w:rPr>
          <w:lang w:eastAsia="ja-JP"/>
        </w:rPr>
        <w:t xml:space="preserve">The times for the GWAS samples are determined on a real-time basis depending on flight-plan modifications. </w:t>
      </w:r>
      <w:r w:rsidR="00BF51CE">
        <w:rPr>
          <w:lang w:eastAsia="ja-JP"/>
        </w:rPr>
        <w:t xml:space="preserve">Post-flight, detailed gas chromatographic analysis </w:t>
      </w:r>
      <w:r w:rsidR="00E844BF">
        <w:rPr>
          <w:lang w:eastAsia="ja-JP"/>
        </w:rPr>
        <w:t>provides</w:t>
      </w:r>
      <w:r w:rsidR="0084526E">
        <w:rPr>
          <w:lang w:eastAsia="ja-JP"/>
        </w:rPr>
        <w:t xml:space="preserve"> a plethora of </w:t>
      </w:r>
      <w:r w:rsidR="00BF51CE">
        <w:rPr>
          <w:lang w:eastAsia="ja-JP"/>
        </w:rPr>
        <w:t xml:space="preserve">trace gases </w:t>
      </w:r>
      <w:r w:rsidR="00BF51CE" w:rsidRPr="00BF51CE">
        <w:rPr>
          <w:lang w:eastAsia="ja-JP"/>
        </w:rPr>
        <w:t xml:space="preserve">with sources from industrial </w:t>
      </w:r>
      <w:proofErr w:type="spellStart"/>
      <w:r w:rsidR="00BF51CE" w:rsidRPr="00BF51CE">
        <w:rPr>
          <w:lang w:eastAsia="ja-JP"/>
        </w:rPr>
        <w:t>midlatitude</w:t>
      </w:r>
      <w:proofErr w:type="spellEnd"/>
      <w:r w:rsidR="00BF51CE" w:rsidRPr="00BF51CE">
        <w:rPr>
          <w:lang w:eastAsia="ja-JP"/>
        </w:rPr>
        <w:t xml:space="preserve"> emissions, from biomass burning, and from the marine boundary layer, with certain compounds (e.g. organic nitrates) that have a unique source in the equatorial surface ocean.</w:t>
      </w:r>
      <w:r w:rsidR="00BF51CE">
        <w:rPr>
          <w:lang w:eastAsia="ja-JP"/>
        </w:rPr>
        <w:t xml:space="preserve">  </w:t>
      </w:r>
      <w:r w:rsidR="00EF065A">
        <w:rPr>
          <w:lang w:eastAsia="ja-JP"/>
        </w:rPr>
        <w:t>G</w:t>
      </w:r>
      <w:r w:rsidR="00BF51CE" w:rsidRPr="00BF51CE">
        <w:rPr>
          <w:lang w:eastAsia="ja-JP"/>
        </w:rPr>
        <w:t>WAS also measures a full suite of halocarbons that provide information on the role of short-lived halocarbons in the tropical UT/LS region, on halogen budgets in the UT/LS region, and on trends of HCFCs, CFCs, and halogenated solvents.</w:t>
      </w:r>
      <w:r w:rsidR="0084526E">
        <w:rPr>
          <w:lang w:eastAsia="ja-JP"/>
        </w:rPr>
        <w:t xml:space="preserve">  </w:t>
      </w:r>
    </w:p>
    <w:p w14:paraId="09620B18" w14:textId="1D5D60DA" w:rsidR="004277DC" w:rsidRPr="00C55153" w:rsidRDefault="004277DC" w:rsidP="00974228">
      <w:pPr>
        <w:widowControl w:val="0"/>
        <w:autoSpaceDE w:val="0"/>
        <w:autoSpaceDN w:val="0"/>
        <w:adjustRightInd w:val="0"/>
        <w:spacing w:after="240"/>
        <w:rPr>
          <w:lang w:eastAsia="ja-JP"/>
        </w:rPr>
      </w:pPr>
      <w:r>
        <w:rPr>
          <w:lang w:eastAsia="ja-JP"/>
        </w:rPr>
        <w:t xml:space="preserve">The ATTREX payload also includes radiation measurements, which will be used to quantify the impacts of clouds and water vapor variability on TTL </w:t>
      </w:r>
      <w:proofErr w:type="spellStart"/>
      <w:r>
        <w:rPr>
          <w:lang w:eastAsia="ja-JP"/>
        </w:rPr>
        <w:t>radiative</w:t>
      </w:r>
      <w:proofErr w:type="spellEnd"/>
      <w:r>
        <w:rPr>
          <w:lang w:eastAsia="ja-JP"/>
        </w:rPr>
        <w:t xml:space="preserve"> </w:t>
      </w:r>
      <w:r w:rsidR="00436149">
        <w:rPr>
          <w:lang w:eastAsia="ja-JP"/>
        </w:rPr>
        <w:t xml:space="preserve">fluxes and </w:t>
      </w:r>
      <w:r>
        <w:rPr>
          <w:lang w:eastAsia="ja-JP"/>
        </w:rPr>
        <w:t>heating rates.</w:t>
      </w:r>
      <w:r w:rsidR="004E59BE">
        <w:rPr>
          <w:lang w:eastAsia="ja-JP"/>
        </w:rPr>
        <w:t xml:space="preserve">  The spectral solar flux measurements </w:t>
      </w:r>
      <w:r w:rsidR="005C5CBD">
        <w:rPr>
          <w:lang w:eastAsia="ja-JP"/>
        </w:rPr>
        <w:t>additionally</w:t>
      </w:r>
      <w:r w:rsidR="004E59BE">
        <w:rPr>
          <w:lang w:eastAsia="ja-JP"/>
        </w:rPr>
        <w:t xml:space="preserve"> provide information about cirrus microphysical properties.  Lastly, the </w:t>
      </w:r>
      <w:r w:rsidR="00C55153">
        <w:rPr>
          <w:lang w:eastAsia="ja-JP"/>
        </w:rPr>
        <w:t>Differential Optical Absorption Spectrometer (mini-</w:t>
      </w:r>
      <w:r w:rsidR="004E59BE">
        <w:rPr>
          <w:lang w:eastAsia="ja-JP"/>
        </w:rPr>
        <w:t>DOAS</w:t>
      </w:r>
      <w:r w:rsidR="00C55153">
        <w:rPr>
          <w:lang w:eastAsia="ja-JP"/>
        </w:rPr>
        <w:t>)</w:t>
      </w:r>
      <w:r w:rsidR="004E59BE">
        <w:rPr>
          <w:lang w:eastAsia="ja-JP"/>
        </w:rPr>
        <w:t xml:space="preserve"> instrument </w:t>
      </w:r>
      <w:r w:rsidR="005C5CBD">
        <w:rPr>
          <w:lang w:eastAsia="ja-JP"/>
        </w:rPr>
        <w:t xml:space="preserve">provides slant-path measurements of </w:t>
      </w:r>
      <w:proofErr w:type="spellStart"/>
      <w:r w:rsidR="005C5CBD">
        <w:rPr>
          <w:lang w:eastAsia="ja-JP"/>
        </w:rPr>
        <w:t>BrO</w:t>
      </w:r>
      <w:proofErr w:type="spellEnd"/>
      <w:r w:rsidR="005C5CBD">
        <w:rPr>
          <w:lang w:eastAsia="ja-JP"/>
        </w:rPr>
        <w:t>, NO</w:t>
      </w:r>
      <w:r w:rsidR="005C5CBD">
        <w:rPr>
          <w:vertAlign w:val="subscript"/>
          <w:lang w:eastAsia="ja-JP"/>
        </w:rPr>
        <w:t>2</w:t>
      </w:r>
      <w:r w:rsidR="005C5CBD">
        <w:rPr>
          <w:lang w:eastAsia="ja-JP"/>
        </w:rPr>
        <w:t>, O</w:t>
      </w:r>
      <w:r w:rsidR="005C5CBD">
        <w:rPr>
          <w:vertAlign w:val="subscript"/>
          <w:lang w:eastAsia="ja-JP"/>
        </w:rPr>
        <w:t>3</w:t>
      </w:r>
      <w:r w:rsidR="005C5CBD">
        <w:rPr>
          <w:lang w:eastAsia="ja-JP"/>
        </w:rPr>
        <w:t>, IO, O</w:t>
      </w:r>
      <w:r w:rsidR="005C5CBD">
        <w:rPr>
          <w:vertAlign w:val="subscript"/>
          <w:lang w:eastAsia="ja-JP"/>
        </w:rPr>
        <w:t>4</w:t>
      </w:r>
      <w:r w:rsidR="005C5CBD">
        <w:rPr>
          <w:lang w:eastAsia="ja-JP"/>
        </w:rPr>
        <w:t>, and cloud/aerosol ex</w:t>
      </w:r>
      <w:r w:rsidR="00C55153">
        <w:rPr>
          <w:lang w:eastAsia="ja-JP"/>
        </w:rPr>
        <w:t xml:space="preserve">tinction.  The combination of the mini-DOAS </w:t>
      </w:r>
      <w:proofErr w:type="spellStart"/>
      <w:r w:rsidR="00C55153">
        <w:rPr>
          <w:lang w:eastAsia="ja-JP"/>
        </w:rPr>
        <w:t>BrO</w:t>
      </w:r>
      <w:proofErr w:type="spellEnd"/>
      <w:r w:rsidR="00C55153">
        <w:rPr>
          <w:lang w:eastAsia="ja-JP"/>
        </w:rPr>
        <w:t xml:space="preserve"> (and IO) measurements, along with measurements of major halogenated hydrocarbons will provide constraints on the TTL and lower stratospheric </w:t>
      </w:r>
      <w:proofErr w:type="spellStart"/>
      <w:r w:rsidR="00C55153">
        <w:rPr>
          <w:lang w:eastAsia="ja-JP"/>
        </w:rPr>
        <w:t>Br</w:t>
      </w:r>
      <w:r w:rsidR="00C55153">
        <w:rPr>
          <w:vertAlign w:val="subscript"/>
          <w:lang w:eastAsia="ja-JP"/>
        </w:rPr>
        <w:t>y</w:t>
      </w:r>
      <w:proofErr w:type="spellEnd"/>
      <w:r w:rsidR="00C55153">
        <w:rPr>
          <w:lang w:eastAsia="ja-JP"/>
        </w:rPr>
        <w:t xml:space="preserve"> and </w:t>
      </w:r>
      <w:proofErr w:type="spellStart"/>
      <w:r w:rsidR="00C55153">
        <w:rPr>
          <w:lang w:eastAsia="ja-JP"/>
        </w:rPr>
        <w:t>I</w:t>
      </w:r>
      <w:r w:rsidR="00C55153">
        <w:rPr>
          <w:vertAlign w:val="subscript"/>
          <w:lang w:eastAsia="ja-JP"/>
        </w:rPr>
        <w:t>y</w:t>
      </w:r>
      <w:proofErr w:type="spellEnd"/>
      <w:r w:rsidR="00C55153">
        <w:rPr>
          <w:lang w:eastAsia="ja-JP"/>
        </w:rPr>
        <w:t xml:space="preserve"> budgets.</w:t>
      </w:r>
    </w:p>
    <w:p w14:paraId="26A776E2" w14:textId="018889E2" w:rsidR="00A96348" w:rsidRPr="000D79D1" w:rsidRDefault="00B45D9E" w:rsidP="00974228">
      <w:pPr>
        <w:widowControl w:val="0"/>
        <w:autoSpaceDE w:val="0"/>
        <w:autoSpaceDN w:val="0"/>
        <w:adjustRightInd w:val="0"/>
        <w:spacing w:after="240"/>
        <w:rPr>
          <w:lang w:eastAsia="ja-JP"/>
        </w:rPr>
      </w:pPr>
      <w:r w:rsidRPr="000D79D1">
        <w:rPr>
          <w:b/>
          <w:lang w:eastAsia="ja-JP"/>
        </w:rPr>
        <w:t>2011 and 2013 Flights</w:t>
      </w:r>
    </w:p>
    <w:p w14:paraId="7EB6D3BF" w14:textId="31C4C80F" w:rsidR="00C742FF" w:rsidRDefault="00CC3EEE" w:rsidP="00C742FF">
      <w:pPr>
        <w:widowControl w:val="0"/>
        <w:autoSpaceDE w:val="0"/>
        <w:autoSpaceDN w:val="0"/>
        <w:adjustRightInd w:val="0"/>
        <w:spacing w:after="240"/>
        <w:rPr>
          <w:lang w:eastAsia="ja-JP"/>
        </w:rPr>
      </w:pPr>
      <w:r>
        <w:rPr>
          <w:lang w:eastAsia="ja-JP"/>
        </w:rPr>
        <w:t xml:space="preserve">The first ATTREX Global Hawk flights </w:t>
      </w:r>
      <w:r w:rsidR="00DF7412">
        <w:rPr>
          <w:lang w:eastAsia="ja-JP"/>
        </w:rPr>
        <w:t xml:space="preserve">from Dryden Flight Research Center (DFRC) </w:t>
      </w:r>
      <w:r>
        <w:rPr>
          <w:lang w:eastAsia="ja-JP"/>
        </w:rPr>
        <w:t xml:space="preserve">occurred </w:t>
      </w:r>
      <w:r w:rsidR="00DF7412">
        <w:rPr>
          <w:lang w:eastAsia="ja-JP"/>
        </w:rPr>
        <w:t xml:space="preserve">during </w:t>
      </w:r>
      <w:r w:rsidR="00F91E86">
        <w:rPr>
          <w:lang w:eastAsia="ja-JP"/>
        </w:rPr>
        <w:t>October and November</w:t>
      </w:r>
      <w:r w:rsidR="00DF7412">
        <w:rPr>
          <w:lang w:eastAsia="ja-JP"/>
        </w:rPr>
        <w:t xml:space="preserve"> 2011.  Although </w:t>
      </w:r>
      <w:r w:rsidR="005B2313">
        <w:rPr>
          <w:lang w:eastAsia="ja-JP"/>
        </w:rPr>
        <w:t xml:space="preserve">focus of </w:t>
      </w:r>
      <w:r w:rsidR="00DF7412">
        <w:rPr>
          <w:lang w:eastAsia="ja-JP"/>
        </w:rPr>
        <w:t xml:space="preserve">the 2011 flight series was </w:t>
      </w:r>
      <w:r w:rsidR="005B2313">
        <w:rPr>
          <w:lang w:eastAsia="ja-JP"/>
        </w:rPr>
        <w:t>evaluation of</w:t>
      </w:r>
      <w:r w:rsidR="00DF7412">
        <w:rPr>
          <w:lang w:eastAsia="ja-JP"/>
        </w:rPr>
        <w:t xml:space="preserve"> aircraft and instrument performance</w:t>
      </w:r>
      <w:r w:rsidR="00F91E86">
        <w:rPr>
          <w:lang w:eastAsia="ja-JP"/>
        </w:rPr>
        <w:t xml:space="preserve"> under the extreme </w:t>
      </w:r>
      <w:r w:rsidR="00436149">
        <w:rPr>
          <w:lang w:eastAsia="ja-JP"/>
        </w:rPr>
        <w:t xml:space="preserve">tropical </w:t>
      </w:r>
      <w:proofErr w:type="spellStart"/>
      <w:r w:rsidR="00436149">
        <w:rPr>
          <w:lang w:eastAsia="ja-JP"/>
        </w:rPr>
        <w:t>tropopause</w:t>
      </w:r>
      <w:proofErr w:type="spellEnd"/>
      <w:r w:rsidR="00436149">
        <w:rPr>
          <w:lang w:eastAsia="ja-JP"/>
        </w:rPr>
        <w:t xml:space="preserve"> conditions</w:t>
      </w:r>
      <w:r w:rsidR="00DF7412">
        <w:rPr>
          <w:lang w:eastAsia="ja-JP"/>
        </w:rPr>
        <w:t>, useful science-quality measurements in the TTL were obtained.  Three long flights into the tropics with durations ranging from 15 to 24 hours were con</w:t>
      </w:r>
      <w:r w:rsidR="00707B32">
        <w:rPr>
          <w:lang w:eastAsia="ja-JP"/>
        </w:rPr>
        <w:t>ducted (see Table 2 and Figure 2</w:t>
      </w:r>
      <w:r w:rsidR="00DF7412">
        <w:rPr>
          <w:lang w:eastAsia="ja-JP"/>
        </w:rPr>
        <w:t xml:space="preserve">).  These flights targeted cold tropical </w:t>
      </w:r>
      <w:proofErr w:type="spellStart"/>
      <w:r w:rsidR="00DF7412">
        <w:rPr>
          <w:lang w:eastAsia="ja-JP"/>
        </w:rPr>
        <w:t>tropopause</w:t>
      </w:r>
      <w:proofErr w:type="spellEnd"/>
      <w:r w:rsidR="00DF7412">
        <w:rPr>
          <w:lang w:eastAsia="ja-JP"/>
        </w:rPr>
        <w:t xml:space="preserve"> regions where </w:t>
      </w:r>
      <w:r w:rsidR="00272673">
        <w:rPr>
          <w:lang w:eastAsia="ja-JP"/>
        </w:rPr>
        <w:t>in situ</w:t>
      </w:r>
      <w:r w:rsidR="00C80662">
        <w:rPr>
          <w:lang w:eastAsia="ja-JP"/>
        </w:rPr>
        <w:t xml:space="preserve"> cirrus </w:t>
      </w:r>
      <w:r w:rsidR="008F673E">
        <w:rPr>
          <w:lang w:eastAsia="ja-JP"/>
        </w:rPr>
        <w:t>occurrence was likely, regions downstream of deep convection detraining into the TTL, and regions with strong tracer gradients.</w:t>
      </w:r>
      <w:r w:rsidR="00AA20A6">
        <w:rPr>
          <w:lang w:eastAsia="ja-JP"/>
        </w:rPr>
        <w:t xml:space="preserve">  Each of the flights included multiple vertical profiles in the tropics (see Table 2), typically extending from cruise altitude (54,000-60,000 </w:t>
      </w:r>
      <w:proofErr w:type="spellStart"/>
      <w:r w:rsidR="00AA20A6">
        <w:rPr>
          <w:lang w:eastAsia="ja-JP"/>
        </w:rPr>
        <w:t>ft</w:t>
      </w:r>
      <w:proofErr w:type="spellEnd"/>
      <w:r w:rsidR="00AA20A6">
        <w:rPr>
          <w:lang w:eastAsia="ja-JP"/>
        </w:rPr>
        <w:t xml:space="preserve">) down to 45,000 </w:t>
      </w:r>
      <w:proofErr w:type="spellStart"/>
      <w:r w:rsidR="00AA20A6">
        <w:rPr>
          <w:lang w:eastAsia="ja-JP"/>
        </w:rPr>
        <w:t>ft</w:t>
      </w:r>
      <w:proofErr w:type="spellEnd"/>
      <w:r w:rsidR="004063C9">
        <w:rPr>
          <w:lang w:eastAsia="ja-JP"/>
        </w:rPr>
        <w:t xml:space="preserve"> (~13.7 km).  As discussed above, r</w:t>
      </w:r>
      <w:r w:rsidR="00AA20A6">
        <w:rPr>
          <w:lang w:eastAsia="ja-JP"/>
        </w:rPr>
        <w:t xml:space="preserve">eal-time </w:t>
      </w:r>
      <w:proofErr w:type="spellStart"/>
      <w:r w:rsidR="00AA20A6">
        <w:rPr>
          <w:lang w:eastAsia="ja-JP"/>
        </w:rPr>
        <w:t>lidar</w:t>
      </w:r>
      <w:proofErr w:type="spellEnd"/>
      <w:r w:rsidR="00AA20A6">
        <w:rPr>
          <w:lang w:eastAsia="ja-JP"/>
        </w:rPr>
        <w:t xml:space="preserve"> data indicating the altitudes and structur</w:t>
      </w:r>
      <w:r w:rsidR="00CB193D">
        <w:rPr>
          <w:lang w:eastAsia="ja-JP"/>
        </w:rPr>
        <w:t>es of clouds below the aircraft was used to decide when and where to execute vertical profiles.</w:t>
      </w:r>
    </w:p>
    <w:p w14:paraId="51E0ED6B" w14:textId="449DBC95" w:rsidR="00522C2B" w:rsidRDefault="00522C2B" w:rsidP="00C742FF">
      <w:pPr>
        <w:widowControl w:val="0"/>
        <w:autoSpaceDE w:val="0"/>
        <w:autoSpaceDN w:val="0"/>
        <w:adjustRightInd w:val="0"/>
        <w:spacing w:after="240"/>
        <w:rPr>
          <w:lang w:eastAsia="ja-JP"/>
        </w:rPr>
      </w:pPr>
      <w:r>
        <w:rPr>
          <w:lang w:eastAsia="ja-JP"/>
        </w:rPr>
        <w:t xml:space="preserve">As a result of instrument </w:t>
      </w:r>
      <w:r w:rsidR="00436149">
        <w:rPr>
          <w:lang w:eastAsia="ja-JP"/>
        </w:rPr>
        <w:t>development and integration delays</w:t>
      </w:r>
      <w:r>
        <w:rPr>
          <w:lang w:eastAsia="ja-JP"/>
        </w:rPr>
        <w:t xml:space="preserve"> the HUPCRS and Hawkeye instruments were not </w:t>
      </w:r>
      <w:r w:rsidR="000519F3">
        <w:rPr>
          <w:lang w:eastAsia="ja-JP"/>
        </w:rPr>
        <w:t>on board</w:t>
      </w:r>
      <w:r>
        <w:rPr>
          <w:lang w:eastAsia="ja-JP"/>
        </w:rPr>
        <w:t xml:space="preserve"> during the 2011 flights.  Furthermore, integration and center </w:t>
      </w:r>
      <w:r w:rsidRPr="00522C2B">
        <w:rPr>
          <w:lang w:eastAsia="ja-JP"/>
        </w:rPr>
        <w:t xml:space="preserve">of gravity issues prevented inclusion of GWAS and CPL in the first 2011 tropical </w:t>
      </w:r>
      <w:r w:rsidR="00E9346A">
        <w:rPr>
          <w:lang w:eastAsia="ja-JP"/>
        </w:rPr>
        <w:t xml:space="preserve">science </w:t>
      </w:r>
      <w:r w:rsidRPr="00522C2B">
        <w:rPr>
          <w:lang w:eastAsia="ja-JP"/>
        </w:rPr>
        <w:t>flight (28−29 October</w:t>
      </w:r>
      <w:r>
        <w:rPr>
          <w:lang w:eastAsia="ja-JP"/>
        </w:rPr>
        <w:t xml:space="preserve">).  </w:t>
      </w:r>
      <w:r w:rsidR="008336C9">
        <w:rPr>
          <w:lang w:eastAsia="ja-JP"/>
        </w:rPr>
        <w:t>The FCDP was flown</w:t>
      </w:r>
      <w:r w:rsidR="00EC214A">
        <w:rPr>
          <w:lang w:eastAsia="ja-JP"/>
        </w:rPr>
        <w:t xml:space="preserve"> to provide basic information about the concentration and size of TTL cirrus ice crystals.</w:t>
      </w:r>
      <w:r w:rsidR="008336C9">
        <w:rPr>
          <w:lang w:eastAsia="ja-JP"/>
        </w:rPr>
        <w:t xml:space="preserve"> </w:t>
      </w:r>
      <w:r w:rsidR="008F7985">
        <w:rPr>
          <w:lang w:eastAsia="ja-JP"/>
        </w:rPr>
        <w:t xml:space="preserve">The NOAA water vapor instrument was not included until the 2013 flights.  </w:t>
      </w:r>
      <w:r w:rsidRPr="00522C2B">
        <w:rPr>
          <w:lang w:eastAsia="ja-JP"/>
        </w:rPr>
        <w:t>The ATTREX instruments</w:t>
      </w:r>
      <w:r>
        <w:rPr>
          <w:lang w:eastAsia="ja-JP"/>
        </w:rPr>
        <w:t xml:space="preserve"> </w:t>
      </w:r>
      <w:r w:rsidR="008336C9">
        <w:rPr>
          <w:lang w:eastAsia="ja-JP"/>
        </w:rPr>
        <w:t xml:space="preserve">that were flown </w:t>
      </w:r>
      <w:r>
        <w:rPr>
          <w:lang w:eastAsia="ja-JP"/>
        </w:rPr>
        <w:t>performed remarkably well</w:t>
      </w:r>
      <w:r w:rsidR="008336C9">
        <w:rPr>
          <w:lang w:eastAsia="ja-JP"/>
        </w:rPr>
        <w:t>, particularly given that several of them were on the Global Hawk for the first time.</w:t>
      </w:r>
    </w:p>
    <w:p w14:paraId="214B5761" w14:textId="6C1DC260" w:rsidR="008F7985" w:rsidRPr="00BA33CE" w:rsidRDefault="008F7985" w:rsidP="00C742FF">
      <w:pPr>
        <w:widowControl w:val="0"/>
        <w:autoSpaceDE w:val="0"/>
        <w:autoSpaceDN w:val="0"/>
        <w:adjustRightInd w:val="0"/>
        <w:spacing w:after="240"/>
        <w:rPr>
          <w:lang w:eastAsia="ja-JP"/>
        </w:rPr>
      </w:pPr>
      <w:r>
        <w:rPr>
          <w:color w:val="000000" w:themeColor="text1"/>
          <w:lang w:eastAsia="ja-JP"/>
        </w:rPr>
        <w:t xml:space="preserve">The 2011 ATTREX measurements provided unique information about TTL cirrus </w:t>
      </w:r>
      <w:r w:rsidRPr="008F7985">
        <w:rPr>
          <w:color w:val="000000" w:themeColor="text1"/>
          <w:lang w:eastAsia="ja-JP"/>
        </w:rPr>
        <w:t xml:space="preserve">microphysical properties and ice </w:t>
      </w:r>
      <w:proofErr w:type="spellStart"/>
      <w:r w:rsidRPr="008F7985">
        <w:rPr>
          <w:color w:val="000000" w:themeColor="text1"/>
          <w:lang w:eastAsia="ja-JP"/>
        </w:rPr>
        <w:t>supersaturation</w:t>
      </w:r>
      <w:proofErr w:type="spellEnd"/>
      <w:r>
        <w:rPr>
          <w:color w:val="000000" w:themeColor="text1"/>
          <w:lang w:eastAsia="ja-JP"/>
        </w:rPr>
        <w:t xml:space="preserve"> (</w:t>
      </w:r>
      <w:r w:rsidR="00506450" w:rsidRPr="00E9346A">
        <w:rPr>
          <w:color w:val="000000" w:themeColor="text1"/>
          <w:lang w:eastAsia="ja-JP"/>
        </w:rPr>
        <w:t>Jensen</w:t>
      </w:r>
      <w:r w:rsidR="00506450">
        <w:rPr>
          <w:i/>
          <w:color w:val="000000" w:themeColor="text1"/>
          <w:lang w:eastAsia="ja-JP"/>
        </w:rPr>
        <w:t xml:space="preserve"> et al., </w:t>
      </w:r>
      <w:r w:rsidR="00506450" w:rsidRPr="00E9346A">
        <w:rPr>
          <w:color w:val="000000" w:themeColor="text1"/>
          <w:lang w:eastAsia="ja-JP"/>
        </w:rPr>
        <w:t>2013</w:t>
      </w:r>
      <w:r w:rsidR="00506450">
        <w:rPr>
          <w:i/>
          <w:color w:val="000000" w:themeColor="text1"/>
          <w:lang w:eastAsia="ja-JP"/>
        </w:rPr>
        <w:t>)</w:t>
      </w:r>
      <w:r w:rsidRPr="008F7985">
        <w:rPr>
          <w:color w:val="000000" w:themeColor="text1"/>
          <w:lang w:eastAsia="ja-JP"/>
        </w:rPr>
        <w:t xml:space="preserve">.  Two classes of TTL cirrus were apparent: </w:t>
      </w:r>
      <w:r w:rsidRPr="008F7985">
        <w:rPr>
          <w:lang w:eastAsia="ja-JP"/>
        </w:rPr>
        <w:t>(</w:t>
      </w:r>
      <w:proofErr w:type="spellStart"/>
      <w:r w:rsidRPr="008F7985">
        <w:rPr>
          <w:lang w:eastAsia="ja-JP"/>
        </w:rPr>
        <w:t>i</w:t>
      </w:r>
      <w:proofErr w:type="spellEnd"/>
      <w:r w:rsidRPr="008F7985">
        <w:rPr>
          <w:lang w:eastAsia="ja-JP"/>
        </w:rPr>
        <w:t>) vertically extensive cir</w:t>
      </w:r>
      <w:r>
        <w:rPr>
          <w:lang w:eastAsia="ja-JP"/>
        </w:rPr>
        <w:t>rus with low ice number concen</w:t>
      </w:r>
      <w:r w:rsidRPr="008F7985">
        <w:rPr>
          <w:lang w:eastAsia="ja-JP"/>
        </w:rPr>
        <w:t xml:space="preserve">trations, low extinctions, and large </w:t>
      </w:r>
      <w:proofErr w:type="spellStart"/>
      <w:r w:rsidRPr="008F7985">
        <w:rPr>
          <w:lang w:eastAsia="ja-JP"/>
        </w:rPr>
        <w:t>supersaturations</w:t>
      </w:r>
      <w:proofErr w:type="spellEnd"/>
      <w:r w:rsidRPr="008F7985">
        <w:rPr>
          <w:lang w:eastAsia="ja-JP"/>
        </w:rPr>
        <w:t xml:space="preserve"> (up to </w:t>
      </w:r>
      <w:r w:rsidRPr="008F7985">
        <w:rPr>
          <w:rFonts w:ascii="Monaco" w:hAnsi="Monaco" w:cs="Monaco"/>
          <w:lang w:eastAsia="ja-JP"/>
        </w:rPr>
        <w:t>∼</w:t>
      </w:r>
      <w:r w:rsidRPr="008F7985">
        <w:rPr>
          <w:lang w:eastAsia="ja-JP"/>
        </w:rPr>
        <w:t>70%) with respect to ice; and (ii) vertically thin cirrus layers with much higher ice concentrations that effec</w:t>
      </w:r>
      <w:r>
        <w:rPr>
          <w:lang w:eastAsia="ja-JP"/>
        </w:rPr>
        <w:t>tively deplete the vapor in ex</w:t>
      </w:r>
      <w:r w:rsidRPr="008F7985">
        <w:rPr>
          <w:lang w:eastAsia="ja-JP"/>
        </w:rPr>
        <w:t xml:space="preserve">cess of saturation. The low-concentration clouds are likely formed on a background population of insoluble particles with </w:t>
      </w:r>
      <w:r w:rsidR="00436149">
        <w:rPr>
          <w:lang w:eastAsia="ja-JP"/>
        </w:rPr>
        <w:t xml:space="preserve">low </w:t>
      </w:r>
      <w:r w:rsidRPr="008F7985">
        <w:rPr>
          <w:lang w:eastAsia="ja-JP"/>
        </w:rPr>
        <w:t>concentrations, whereas the high ice concentration layers (</w:t>
      </w:r>
      <w:r w:rsidR="00436149">
        <w:rPr>
          <w:lang w:eastAsia="ja-JP"/>
        </w:rPr>
        <w:t>with concentrations up to 10 cm</w:t>
      </w:r>
      <w:r w:rsidRPr="00506450">
        <w:rPr>
          <w:vertAlign w:val="superscript"/>
          <w:lang w:eastAsia="ja-JP"/>
        </w:rPr>
        <w:t>−</w:t>
      </w:r>
      <w:r w:rsidR="00436149">
        <w:rPr>
          <w:vertAlign w:val="superscript"/>
          <w:lang w:eastAsia="ja-JP"/>
        </w:rPr>
        <w:t>3</w:t>
      </w:r>
      <w:r w:rsidRPr="008F7985">
        <w:rPr>
          <w:lang w:eastAsia="ja-JP"/>
        </w:rPr>
        <w:t>) can only be produced by homogeneous freezing of an abundant population of aqueous aerosols. These measurements, alo</w:t>
      </w:r>
      <w:r w:rsidR="00506450">
        <w:rPr>
          <w:lang w:eastAsia="ja-JP"/>
        </w:rPr>
        <w:t>ng with past high-altitude air</w:t>
      </w:r>
      <w:r w:rsidRPr="008F7985">
        <w:rPr>
          <w:lang w:eastAsia="ja-JP"/>
        </w:rPr>
        <w:t xml:space="preserve">craft measurements, indicate that the low-concentration cirrus occur frequently in the tropical </w:t>
      </w:r>
      <w:proofErr w:type="spellStart"/>
      <w:r w:rsidRPr="008F7985">
        <w:rPr>
          <w:lang w:eastAsia="ja-JP"/>
        </w:rPr>
        <w:t>tropopause</w:t>
      </w:r>
      <w:proofErr w:type="spellEnd"/>
      <w:r w:rsidRPr="008F7985">
        <w:rPr>
          <w:lang w:eastAsia="ja-JP"/>
        </w:rPr>
        <w:t xml:space="preserve"> region, whereas the high-concentration cirrus occur infrequently. The predominance of the low-concentration clouds means </w:t>
      </w:r>
      <w:r w:rsidR="00506450">
        <w:rPr>
          <w:lang w:eastAsia="ja-JP"/>
        </w:rPr>
        <w:t xml:space="preserve">cirrus near the tropical </w:t>
      </w:r>
      <w:proofErr w:type="spellStart"/>
      <w:r w:rsidR="00506450">
        <w:rPr>
          <w:lang w:eastAsia="ja-JP"/>
        </w:rPr>
        <w:t>tropo</w:t>
      </w:r>
      <w:r w:rsidRPr="008F7985">
        <w:rPr>
          <w:lang w:eastAsia="ja-JP"/>
        </w:rPr>
        <w:t>pause</w:t>
      </w:r>
      <w:proofErr w:type="spellEnd"/>
      <w:r w:rsidRPr="008F7985">
        <w:rPr>
          <w:lang w:eastAsia="ja-JP"/>
        </w:rPr>
        <w:t xml:space="preserve"> may typically </w:t>
      </w:r>
      <w:r w:rsidR="00436149">
        <w:rPr>
          <w:lang w:eastAsia="ja-JP"/>
        </w:rPr>
        <w:t>be less effective at dehydrating air entering the stratosphere than is typically assumed on models.</w:t>
      </w:r>
    </w:p>
    <w:p w14:paraId="6C3AF744" w14:textId="2D2CD475" w:rsidR="00BF4229" w:rsidRDefault="00BF4229" w:rsidP="00C742FF">
      <w:pPr>
        <w:widowControl w:val="0"/>
        <w:autoSpaceDE w:val="0"/>
        <w:autoSpaceDN w:val="0"/>
        <w:adjustRightInd w:val="0"/>
        <w:spacing w:after="240"/>
        <w:rPr>
          <w:lang w:eastAsia="ja-JP"/>
        </w:rPr>
      </w:pPr>
      <w:r>
        <w:rPr>
          <w:b/>
          <w:sz w:val="20"/>
          <w:szCs w:val="20"/>
          <w:lang w:eastAsia="ja-JP"/>
        </w:rPr>
        <w:t xml:space="preserve">Table 2. </w:t>
      </w:r>
      <w:r>
        <w:rPr>
          <w:sz w:val="20"/>
          <w:szCs w:val="20"/>
          <w:lang w:eastAsia="ja-JP"/>
        </w:rPr>
        <w:t>ATTREX Global Hawk flights</w:t>
      </w:r>
    </w:p>
    <w:tbl>
      <w:tblPr>
        <w:tblStyle w:val="TableGrid"/>
        <w:tblW w:w="0" w:type="auto"/>
        <w:tblBorders>
          <w:left w:val="none" w:sz="0" w:space="0" w:color="auto"/>
        </w:tblBorders>
        <w:tblCellMar>
          <w:left w:w="29" w:type="dxa"/>
          <w:right w:w="115" w:type="dxa"/>
        </w:tblCellMar>
        <w:tblLook w:val="04A0" w:firstRow="1" w:lastRow="0" w:firstColumn="1" w:lastColumn="0" w:noHBand="0" w:noVBand="1"/>
      </w:tblPr>
      <w:tblGrid>
        <w:gridCol w:w="622"/>
        <w:gridCol w:w="1285"/>
        <w:gridCol w:w="1320"/>
        <w:gridCol w:w="2605"/>
        <w:gridCol w:w="2952"/>
      </w:tblGrid>
      <w:tr w:rsidR="006E2F12" w14:paraId="56FF2670" w14:textId="77777777" w:rsidTr="00765893">
        <w:tc>
          <w:tcPr>
            <w:tcW w:w="0" w:type="auto"/>
            <w:tcBorders>
              <w:bottom w:val="single" w:sz="4" w:space="0" w:color="auto"/>
              <w:right w:val="nil"/>
            </w:tcBorders>
          </w:tcPr>
          <w:p w14:paraId="169DB5A4" w14:textId="14932F75" w:rsidR="006E2F12" w:rsidRDefault="006E2F12" w:rsidP="00C742FF">
            <w:pPr>
              <w:widowControl w:val="0"/>
              <w:autoSpaceDE w:val="0"/>
              <w:autoSpaceDN w:val="0"/>
              <w:adjustRightInd w:val="0"/>
              <w:spacing w:after="40"/>
              <w:rPr>
                <w:sz w:val="20"/>
                <w:szCs w:val="20"/>
                <w:lang w:eastAsia="ja-JP"/>
              </w:rPr>
            </w:pPr>
            <w:r>
              <w:rPr>
                <w:sz w:val="20"/>
                <w:szCs w:val="20"/>
                <w:lang w:eastAsia="ja-JP"/>
              </w:rPr>
              <w:t>Flight</w:t>
            </w:r>
          </w:p>
        </w:tc>
        <w:tc>
          <w:tcPr>
            <w:tcW w:w="0" w:type="auto"/>
            <w:tcBorders>
              <w:left w:val="nil"/>
              <w:bottom w:val="single" w:sz="4" w:space="0" w:color="auto"/>
              <w:right w:val="nil"/>
            </w:tcBorders>
          </w:tcPr>
          <w:p w14:paraId="7E6AE285" w14:textId="3A9F9180"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Date in 2011</w:t>
            </w:r>
          </w:p>
        </w:tc>
        <w:tc>
          <w:tcPr>
            <w:tcW w:w="0" w:type="auto"/>
            <w:tcBorders>
              <w:left w:val="nil"/>
              <w:bottom w:val="single" w:sz="4" w:space="0" w:color="auto"/>
              <w:right w:val="nil"/>
            </w:tcBorders>
          </w:tcPr>
          <w:p w14:paraId="6580F3E9" w14:textId="2F9A7BC9" w:rsidR="006E2F12" w:rsidRPr="003C28C9" w:rsidRDefault="006E2F12" w:rsidP="006E2F12">
            <w:pPr>
              <w:widowControl w:val="0"/>
              <w:autoSpaceDE w:val="0"/>
              <w:autoSpaceDN w:val="0"/>
              <w:adjustRightInd w:val="0"/>
              <w:spacing w:after="40"/>
              <w:rPr>
                <w:sz w:val="20"/>
                <w:szCs w:val="20"/>
                <w:lang w:eastAsia="ja-JP"/>
              </w:rPr>
            </w:pPr>
            <w:r>
              <w:rPr>
                <w:sz w:val="20"/>
                <w:szCs w:val="20"/>
                <w:lang w:eastAsia="ja-JP"/>
              </w:rPr>
              <w:t>Flight time (hours)</w:t>
            </w:r>
          </w:p>
        </w:tc>
        <w:tc>
          <w:tcPr>
            <w:tcW w:w="0" w:type="auto"/>
            <w:tcBorders>
              <w:left w:val="nil"/>
              <w:bottom w:val="single" w:sz="4" w:space="0" w:color="auto"/>
              <w:right w:val="nil"/>
            </w:tcBorders>
          </w:tcPr>
          <w:p w14:paraId="1F1A2B8E" w14:textId="4F761C8A" w:rsidR="006E2F12" w:rsidRPr="003C28C9" w:rsidRDefault="006E2F12" w:rsidP="00C742FF">
            <w:pPr>
              <w:widowControl w:val="0"/>
              <w:tabs>
                <w:tab w:val="right" w:pos="1998"/>
              </w:tabs>
              <w:autoSpaceDE w:val="0"/>
              <w:autoSpaceDN w:val="0"/>
              <w:adjustRightInd w:val="0"/>
              <w:spacing w:after="40"/>
              <w:rPr>
                <w:sz w:val="20"/>
                <w:szCs w:val="20"/>
                <w:lang w:eastAsia="ja-JP"/>
              </w:rPr>
            </w:pPr>
            <w:r>
              <w:rPr>
                <w:sz w:val="20"/>
                <w:szCs w:val="20"/>
                <w:lang w:eastAsia="ja-JP"/>
              </w:rPr>
              <w:t>Tropical sampling region (south of 20 N)</w:t>
            </w:r>
          </w:p>
        </w:tc>
        <w:tc>
          <w:tcPr>
            <w:tcW w:w="0" w:type="auto"/>
            <w:tcBorders>
              <w:left w:val="nil"/>
              <w:bottom w:val="single" w:sz="4" w:space="0" w:color="auto"/>
              <w:right w:val="nil"/>
            </w:tcBorders>
          </w:tcPr>
          <w:p w14:paraId="4A05AE5E" w14:textId="6CD02976"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Notes</w:t>
            </w:r>
          </w:p>
        </w:tc>
      </w:tr>
      <w:tr w:rsidR="006E2F12" w14:paraId="3CDB7CF4" w14:textId="77777777" w:rsidTr="00765893">
        <w:tc>
          <w:tcPr>
            <w:tcW w:w="0" w:type="auto"/>
            <w:tcBorders>
              <w:bottom w:val="nil"/>
              <w:right w:val="nil"/>
            </w:tcBorders>
          </w:tcPr>
          <w:p w14:paraId="3E8BD0BF" w14:textId="6D9055A5" w:rsidR="006E2F12" w:rsidRDefault="006E2F12" w:rsidP="00A2621F">
            <w:pPr>
              <w:widowControl w:val="0"/>
              <w:autoSpaceDE w:val="0"/>
              <w:autoSpaceDN w:val="0"/>
              <w:adjustRightInd w:val="0"/>
              <w:spacing w:after="40"/>
              <w:rPr>
                <w:sz w:val="20"/>
                <w:szCs w:val="20"/>
                <w:lang w:eastAsia="ja-JP"/>
              </w:rPr>
            </w:pPr>
            <w:r>
              <w:rPr>
                <w:sz w:val="20"/>
                <w:szCs w:val="20"/>
                <w:lang w:eastAsia="ja-JP"/>
              </w:rPr>
              <w:t>RF01</w:t>
            </w:r>
          </w:p>
        </w:tc>
        <w:tc>
          <w:tcPr>
            <w:tcW w:w="0" w:type="auto"/>
            <w:tcBorders>
              <w:left w:val="nil"/>
              <w:bottom w:val="nil"/>
              <w:right w:val="nil"/>
            </w:tcBorders>
          </w:tcPr>
          <w:p w14:paraId="5E750758" w14:textId="3B4E1BC3" w:rsidR="006E2F12" w:rsidRDefault="006E2F12" w:rsidP="00A2621F">
            <w:pPr>
              <w:widowControl w:val="0"/>
              <w:autoSpaceDE w:val="0"/>
              <w:autoSpaceDN w:val="0"/>
              <w:adjustRightInd w:val="0"/>
              <w:spacing w:after="40"/>
              <w:rPr>
                <w:sz w:val="20"/>
                <w:szCs w:val="20"/>
                <w:lang w:eastAsia="ja-JP"/>
              </w:rPr>
            </w:pPr>
            <w:r>
              <w:rPr>
                <w:sz w:val="20"/>
                <w:szCs w:val="20"/>
                <w:lang w:eastAsia="ja-JP"/>
              </w:rPr>
              <w:t>28−29 October</w:t>
            </w:r>
          </w:p>
        </w:tc>
        <w:tc>
          <w:tcPr>
            <w:tcW w:w="0" w:type="auto"/>
            <w:tcBorders>
              <w:left w:val="nil"/>
              <w:bottom w:val="nil"/>
              <w:right w:val="nil"/>
            </w:tcBorders>
          </w:tcPr>
          <w:p w14:paraId="4AA7B2DB" w14:textId="34C10F50" w:rsidR="006E2F12" w:rsidRDefault="006E2F12" w:rsidP="00C742FF">
            <w:pPr>
              <w:widowControl w:val="0"/>
              <w:autoSpaceDE w:val="0"/>
              <w:autoSpaceDN w:val="0"/>
              <w:adjustRightInd w:val="0"/>
              <w:spacing w:after="40"/>
              <w:rPr>
                <w:sz w:val="20"/>
                <w:szCs w:val="20"/>
                <w:lang w:eastAsia="ja-JP"/>
              </w:rPr>
            </w:pPr>
            <w:r>
              <w:rPr>
                <w:sz w:val="20"/>
                <w:szCs w:val="20"/>
                <w:lang w:eastAsia="ja-JP"/>
              </w:rPr>
              <w:t>21.4</w:t>
            </w:r>
          </w:p>
        </w:tc>
        <w:tc>
          <w:tcPr>
            <w:tcW w:w="0" w:type="auto"/>
            <w:tcBorders>
              <w:left w:val="nil"/>
              <w:bottom w:val="nil"/>
              <w:right w:val="nil"/>
            </w:tcBorders>
          </w:tcPr>
          <w:p w14:paraId="1E854704" w14:textId="33C43502" w:rsidR="006E2F12" w:rsidRDefault="006E2F12" w:rsidP="00C742FF">
            <w:pPr>
              <w:widowControl w:val="0"/>
              <w:tabs>
                <w:tab w:val="right" w:pos="1998"/>
              </w:tabs>
              <w:autoSpaceDE w:val="0"/>
              <w:autoSpaceDN w:val="0"/>
              <w:adjustRightInd w:val="0"/>
              <w:spacing w:after="40"/>
              <w:rPr>
                <w:sz w:val="20"/>
                <w:szCs w:val="20"/>
                <w:lang w:eastAsia="ja-JP"/>
              </w:rPr>
            </w:pPr>
            <w:r>
              <w:rPr>
                <w:sz w:val="20"/>
                <w:szCs w:val="20"/>
                <w:lang w:eastAsia="ja-JP"/>
              </w:rPr>
              <w:t>6.3−20 N, 113−120 W</w:t>
            </w:r>
          </w:p>
        </w:tc>
        <w:tc>
          <w:tcPr>
            <w:tcW w:w="0" w:type="auto"/>
            <w:tcBorders>
              <w:left w:val="nil"/>
              <w:bottom w:val="nil"/>
              <w:right w:val="nil"/>
            </w:tcBorders>
          </w:tcPr>
          <w:p w14:paraId="7A02148E" w14:textId="3DB65FEA" w:rsidR="006E2F12" w:rsidRDefault="006E2F12" w:rsidP="005427AC">
            <w:pPr>
              <w:widowControl w:val="0"/>
              <w:autoSpaceDE w:val="0"/>
              <w:autoSpaceDN w:val="0"/>
              <w:adjustRightInd w:val="0"/>
              <w:spacing w:after="40"/>
              <w:rPr>
                <w:sz w:val="20"/>
                <w:szCs w:val="20"/>
                <w:lang w:eastAsia="ja-JP"/>
              </w:rPr>
            </w:pPr>
            <w:r>
              <w:rPr>
                <w:sz w:val="20"/>
                <w:szCs w:val="20"/>
                <w:lang w:eastAsia="ja-JP"/>
              </w:rPr>
              <w:t>Eastern Pacific TTL profiling</w:t>
            </w:r>
          </w:p>
        </w:tc>
      </w:tr>
      <w:tr w:rsidR="006E2F12" w14:paraId="4C015FDC" w14:textId="77777777" w:rsidTr="00765893">
        <w:tc>
          <w:tcPr>
            <w:tcW w:w="0" w:type="auto"/>
            <w:tcBorders>
              <w:top w:val="nil"/>
              <w:bottom w:val="nil"/>
              <w:right w:val="nil"/>
            </w:tcBorders>
          </w:tcPr>
          <w:p w14:paraId="23EEB934" w14:textId="55329958" w:rsidR="006E2F12" w:rsidRDefault="006E2F12" w:rsidP="00267058">
            <w:pPr>
              <w:widowControl w:val="0"/>
              <w:autoSpaceDE w:val="0"/>
              <w:autoSpaceDN w:val="0"/>
              <w:adjustRightInd w:val="0"/>
              <w:spacing w:after="40"/>
              <w:rPr>
                <w:sz w:val="20"/>
                <w:szCs w:val="20"/>
                <w:lang w:eastAsia="ja-JP"/>
              </w:rPr>
            </w:pPr>
            <w:r>
              <w:rPr>
                <w:sz w:val="20"/>
                <w:szCs w:val="20"/>
                <w:lang w:eastAsia="ja-JP"/>
              </w:rPr>
              <w:t>RF02</w:t>
            </w:r>
          </w:p>
        </w:tc>
        <w:tc>
          <w:tcPr>
            <w:tcW w:w="0" w:type="auto"/>
            <w:tcBorders>
              <w:top w:val="nil"/>
              <w:left w:val="nil"/>
              <w:bottom w:val="nil"/>
              <w:right w:val="nil"/>
            </w:tcBorders>
          </w:tcPr>
          <w:p w14:paraId="0180BBF4" w14:textId="14D3FF1D" w:rsidR="006E2F12" w:rsidRDefault="006E2F12" w:rsidP="00267058">
            <w:pPr>
              <w:widowControl w:val="0"/>
              <w:autoSpaceDE w:val="0"/>
              <w:autoSpaceDN w:val="0"/>
              <w:adjustRightInd w:val="0"/>
              <w:spacing w:after="40"/>
              <w:rPr>
                <w:sz w:val="20"/>
                <w:szCs w:val="20"/>
                <w:lang w:eastAsia="ja-JP"/>
              </w:rPr>
            </w:pPr>
            <w:r>
              <w:rPr>
                <w:sz w:val="20"/>
                <w:szCs w:val="20"/>
                <w:lang w:eastAsia="ja-JP"/>
              </w:rPr>
              <w:t>5−6 November</w:t>
            </w:r>
          </w:p>
        </w:tc>
        <w:tc>
          <w:tcPr>
            <w:tcW w:w="0" w:type="auto"/>
            <w:tcBorders>
              <w:top w:val="nil"/>
              <w:left w:val="nil"/>
              <w:bottom w:val="nil"/>
              <w:right w:val="nil"/>
            </w:tcBorders>
          </w:tcPr>
          <w:p w14:paraId="42B72481" w14:textId="55ED0CD1" w:rsidR="006E2F12" w:rsidRDefault="006E2F12" w:rsidP="00C742FF">
            <w:pPr>
              <w:widowControl w:val="0"/>
              <w:autoSpaceDE w:val="0"/>
              <w:autoSpaceDN w:val="0"/>
              <w:adjustRightInd w:val="0"/>
              <w:spacing w:after="40"/>
              <w:rPr>
                <w:sz w:val="20"/>
                <w:szCs w:val="20"/>
                <w:lang w:eastAsia="ja-JP"/>
              </w:rPr>
            </w:pPr>
            <w:r>
              <w:rPr>
                <w:sz w:val="20"/>
                <w:szCs w:val="20"/>
                <w:lang w:eastAsia="ja-JP"/>
              </w:rPr>
              <w:t>16.5</w:t>
            </w:r>
          </w:p>
        </w:tc>
        <w:tc>
          <w:tcPr>
            <w:tcW w:w="0" w:type="auto"/>
            <w:tcBorders>
              <w:top w:val="nil"/>
              <w:left w:val="nil"/>
              <w:bottom w:val="nil"/>
              <w:right w:val="nil"/>
            </w:tcBorders>
          </w:tcPr>
          <w:p w14:paraId="070050CB" w14:textId="1599D265" w:rsidR="006E2F12" w:rsidRDefault="006E2F12" w:rsidP="00C742FF">
            <w:pPr>
              <w:widowControl w:val="0"/>
              <w:tabs>
                <w:tab w:val="right" w:pos="1998"/>
              </w:tabs>
              <w:autoSpaceDE w:val="0"/>
              <w:autoSpaceDN w:val="0"/>
              <w:adjustRightInd w:val="0"/>
              <w:spacing w:after="40"/>
              <w:rPr>
                <w:sz w:val="20"/>
                <w:szCs w:val="20"/>
                <w:lang w:eastAsia="ja-JP"/>
              </w:rPr>
            </w:pPr>
            <w:r>
              <w:rPr>
                <w:sz w:val="20"/>
                <w:szCs w:val="20"/>
                <w:lang w:eastAsia="ja-JP"/>
              </w:rPr>
              <w:t>6.5−20 N, 119−127 W</w:t>
            </w:r>
          </w:p>
        </w:tc>
        <w:tc>
          <w:tcPr>
            <w:tcW w:w="0" w:type="auto"/>
            <w:tcBorders>
              <w:top w:val="nil"/>
              <w:left w:val="nil"/>
              <w:bottom w:val="nil"/>
              <w:right w:val="nil"/>
            </w:tcBorders>
          </w:tcPr>
          <w:p w14:paraId="32283837" w14:textId="602539AD" w:rsidR="006E2F12" w:rsidRDefault="006E2F12" w:rsidP="00C742FF">
            <w:pPr>
              <w:widowControl w:val="0"/>
              <w:autoSpaceDE w:val="0"/>
              <w:autoSpaceDN w:val="0"/>
              <w:adjustRightInd w:val="0"/>
              <w:spacing w:after="40"/>
              <w:rPr>
                <w:sz w:val="20"/>
                <w:szCs w:val="20"/>
                <w:lang w:eastAsia="ja-JP"/>
              </w:rPr>
            </w:pPr>
            <w:r>
              <w:rPr>
                <w:sz w:val="20"/>
                <w:szCs w:val="20"/>
                <w:lang w:eastAsia="ja-JP"/>
              </w:rPr>
              <w:t>TTL cirrus sampled</w:t>
            </w:r>
          </w:p>
        </w:tc>
      </w:tr>
      <w:tr w:rsidR="006E2F12" w14:paraId="1745FB79" w14:textId="77777777" w:rsidTr="00765893">
        <w:tc>
          <w:tcPr>
            <w:tcW w:w="0" w:type="auto"/>
            <w:tcBorders>
              <w:top w:val="nil"/>
              <w:bottom w:val="nil"/>
              <w:right w:val="nil"/>
            </w:tcBorders>
          </w:tcPr>
          <w:p w14:paraId="7B166E5B" w14:textId="1131AF4C" w:rsidR="006E2F12" w:rsidRDefault="006E2F12" w:rsidP="00C742FF">
            <w:pPr>
              <w:widowControl w:val="0"/>
              <w:autoSpaceDE w:val="0"/>
              <w:autoSpaceDN w:val="0"/>
              <w:adjustRightInd w:val="0"/>
              <w:spacing w:after="40"/>
              <w:rPr>
                <w:sz w:val="20"/>
                <w:szCs w:val="20"/>
                <w:lang w:eastAsia="ja-JP"/>
              </w:rPr>
            </w:pPr>
            <w:r>
              <w:rPr>
                <w:sz w:val="20"/>
                <w:szCs w:val="20"/>
                <w:lang w:eastAsia="ja-JP"/>
              </w:rPr>
              <w:t>RF03</w:t>
            </w:r>
          </w:p>
        </w:tc>
        <w:tc>
          <w:tcPr>
            <w:tcW w:w="0" w:type="auto"/>
            <w:tcBorders>
              <w:top w:val="nil"/>
              <w:left w:val="nil"/>
              <w:bottom w:val="nil"/>
              <w:right w:val="nil"/>
            </w:tcBorders>
          </w:tcPr>
          <w:p w14:paraId="5FA1D95B" w14:textId="1843C62D" w:rsidR="006E2F12" w:rsidRDefault="006E2F12" w:rsidP="00C742FF">
            <w:pPr>
              <w:widowControl w:val="0"/>
              <w:autoSpaceDE w:val="0"/>
              <w:autoSpaceDN w:val="0"/>
              <w:adjustRightInd w:val="0"/>
              <w:spacing w:after="40"/>
              <w:rPr>
                <w:sz w:val="20"/>
                <w:szCs w:val="20"/>
                <w:lang w:eastAsia="ja-JP"/>
              </w:rPr>
            </w:pPr>
            <w:r>
              <w:rPr>
                <w:sz w:val="20"/>
                <w:szCs w:val="20"/>
                <w:lang w:eastAsia="ja-JP"/>
              </w:rPr>
              <w:t>9−10 November</w:t>
            </w:r>
          </w:p>
        </w:tc>
        <w:tc>
          <w:tcPr>
            <w:tcW w:w="0" w:type="auto"/>
            <w:tcBorders>
              <w:top w:val="nil"/>
              <w:left w:val="nil"/>
              <w:bottom w:val="nil"/>
              <w:right w:val="nil"/>
            </w:tcBorders>
          </w:tcPr>
          <w:p w14:paraId="5F1C71D1" w14:textId="1D314870" w:rsidR="006E2F12" w:rsidRDefault="006E2F12" w:rsidP="00C742FF">
            <w:pPr>
              <w:widowControl w:val="0"/>
              <w:autoSpaceDE w:val="0"/>
              <w:autoSpaceDN w:val="0"/>
              <w:adjustRightInd w:val="0"/>
              <w:spacing w:after="40"/>
              <w:rPr>
                <w:sz w:val="20"/>
                <w:szCs w:val="20"/>
                <w:lang w:eastAsia="ja-JP"/>
              </w:rPr>
            </w:pPr>
            <w:r>
              <w:rPr>
                <w:sz w:val="20"/>
                <w:szCs w:val="20"/>
                <w:lang w:eastAsia="ja-JP"/>
              </w:rPr>
              <w:t>23.4</w:t>
            </w:r>
          </w:p>
        </w:tc>
        <w:tc>
          <w:tcPr>
            <w:tcW w:w="0" w:type="auto"/>
            <w:tcBorders>
              <w:top w:val="nil"/>
              <w:left w:val="nil"/>
              <w:bottom w:val="nil"/>
              <w:right w:val="nil"/>
            </w:tcBorders>
          </w:tcPr>
          <w:p w14:paraId="61473F22" w14:textId="42002B1F" w:rsidR="006E2F12" w:rsidRDefault="006E2F12" w:rsidP="00C742FF">
            <w:pPr>
              <w:widowControl w:val="0"/>
              <w:tabs>
                <w:tab w:val="right" w:pos="1998"/>
              </w:tabs>
              <w:autoSpaceDE w:val="0"/>
              <w:autoSpaceDN w:val="0"/>
              <w:adjustRightInd w:val="0"/>
              <w:spacing w:after="40"/>
              <w:rPr>
                <w:sz w:val="20"/>
                <w:szCs w:val="20"/>
                <w:lang w:eastAsia="ja-JP"/>
              </w:rPr>
            </w:pPr>
            <w:r>
              <w:rPr>
                <w:sz w:val="20"/>
                <w:szCs w:val="20"/>
                <w:lang w:eastAsia="ja-JP"/>
              </w:rPr>
              <w:t>12−20 N, 114−134 W</w:t>
            </w:r>
          </w:p>
        </w:tc>
        <w:tc>
          <w:tcPr>
            <w:tcW w:w="0" w:type="auto"/>
            <w:tcBorders>
              <w:top w:val="nil"/>
              <w:left w:val="nil"/>
              <w:bottom w:val="nil"/>
              <w:right w:val="nil"/>
            </w:tcBorders>
          </w:tcPr>
          <w:p w14:paraId="054DDDE3" w14:textId="474DA59B" w:rsidR="006E2F12" w:rsidRDefault="006E2F12" w:rsidP="00C742FF">
            <w:pPr>
              <w:widowControl w:val="0"/>
              <w:autoSpaceDE w:val="0"/>
              <w:autoSpaceDN w:val="0"/>
              <w:adjustRightInd w:val="0"/>
              <w:spacing w:after="40"/>
              <w:rPr>
                <w:sz w:val="20"/>
                <w:szCs w:val="20"/>
                <w:lang w:eastAsia="ja-JP"/>
              </w:rPr>
            </w:pPr>
            <w:r>
              <w:rPr>
                <w:sz w:val="20"/>
                <w:szCs w:val="20"/>
                <w:lang w:eastAsia="ja-JP"/>
              </w:rPr>
              <w:t>TTL cirrus and convective detrainment sampled</w:t>
            </w:r>
          </w:p>
        </w:tc>
      </w:tr>
      <w:tr w:rsidR="006E2F12" w14:paraId="5DFF076E" w14:textId="77777777" w:rsidTr="00765893">
        <w:tc>
          <w:tcPr>
            <w:tcW w:w="0" w:type="auto"/>
            <w:tcBorders>
              <w:top w:val="nil"/>
              <w:bottom w:val="single" w:sz="4" w:space="0" w:color="auto"/>
              <w:right w:val="nil"/>
            </w:tcBorders>
          </w:tcPr>
          <w:p w14:paraId="2DEDCF55" w14:textId="77777777" w:rsidR="006E2F12" w:rsidRDefault="006E2F12" w:rsidP="00C742FF">
            <w:pPr>
              <w:widowControl w:val="0"/>
              <w:autoSpaceDE w:val="0"/>
              <w:autoSpaceDN w:val="0"/>
              <w:adjustRightInd w:val="0"/>
              <w:spacing w:after="40"/>
              <w:rPr>
                <w:sz w:val="20"/>
                <w:szCs w:val="20"/>
                <w:lang w:eastAsia="ja-JP"/>
              </w:rPr>
            </w:pPr>
          </w:p>
        </w:tc>
        <w:tc>
          <w:tcPr>
            <w:tcW w:w="0" w:type="auto"/>
            <w:tcBorders>
              <w:top w:val="nil"/>
              <w:left w:val="nil"/>
              <w:bottom w:val="single" w:sz="4" w:space="0" w:color="auto"/>
              <w:right w:val="nil"/>
            </w:tcBorders>
          </w:tcPr>
          <w:p w14:paraId="4AEBA29F" w14:textId="26949A3D" w:rsidR="006E2F12" w:rsidRDefault="006E2F12" w:rsidP="00C742FF">
            <w:pPr>
              <w:widowControl w:val="0"/>
              <w:autoSpaceDE w:val="0"/>
              <w:autoSpaceDN w:val="0"/>
              <w:adjustRightInd w:val="0"/>
              <w:spacing w:after="40"/>
              <w:rPr>
                <w:sz w:val="20"/>
                <w:szCs w:val="20"/>
                <w:lang w:eastAsia="ja-JP"/>
              </w:rPr>
            </w:pPr>
          </w:p>
        </w:tc>
        <w:tc>
          <w:tcPr>
            <w:tcW w:w="0" w:type="auto"/>
            <w:tcBorders>
              <w:top w:val="nil"/>
              <w:left w:val="nil"/>
              <w:bottom w:val="single" w:sz="4" w:space="0" w:color="auto"/>
              <w:right w:val="nil"/>
            </w:tcBorders>
          </w:tcPr>
          <w:p w14:paraId="4CCA7804" w14:textId="77777777" w:rsidR="006E2F12" w:rsidRDefault="006E2F12" w:rsidP="00C742FF">
            <w:pPr>
              <w:widowControl w:val="0"/>
              <w:autoSpaceDE w:val="0"/>
              <w:autoSpaceDN w:val="0"/>
              <w:adjustRightInd w:val="0"/>
              <w:spacing w:after="40"/>
              <w:rPr>
                <w:sz w:val="20"/>
                <w:szCs w:val="20"/>
                <w:lang w:eastAsia="ja-JP"/>
              </w:rPr>
            </w:pPr>
          </w:p>
        </w:tc>
        <w:tc>
          <w:tcPr>
            <w:tcW w:w="0" w:type="auto"/>
            <w:tcBorders>
              <w:top w:val="nil"/>
              <w:left w:val="nil"/>
              <w:bottom w:val="single" w:sz="4" w:space="0" w:color="auto"/>
              <w:right w:val="nil"/>
            </w:tcBorders>
          </w:tcPr>
          <w:p w14:paraId="0E6B0B85" w14:textId="77777777" w:rsidR="006E2F12" w:rsidRDefault="006E2F12" w:rsidP="00C742FF">
            <w:pPr>
              <w:widowControl w:val="0"/>
              <w:tabs>
                <w:tab w:val="right" w:pos="1998"/>
              </w:tabs>
              <w:autoSpaceDE w:val="0"/>
              <w:autoSpaceDN w:val="0"/>
              <w:adjustRightInd w:val="0"/>
              <w:spacing w:after="40"/>
              <w:rPr>
                <w:sz w:val="20"/>
                <w:szCs w:val="20"/>
                <w:lang w:eastAsia="ja-JP"/>
              </w:rPr>
            </w:pPr>
          </w:p>
        </w:tc>
        <w:tc>
          <w:tcPr>
            <w:tcW w:w="0" w:type="auto"/>
            <w:tcBorders>
              <w:top w:val="nil"/>
              <w:left w:val="nil"/>
              <w:bottom w:val="single" w:sz="4" w:space="0" w:color="auto"/>
              <w:right w:val="nil"/>
            </w:tcBorders>
          </w:tcPr>
          <w:p w14:paraId="3BA5AD88" w14:textId="77777777" w:rsidR="006E2F12" w:rsidRDefault="006E2F12" w:rsidP="00C742FF">
            <w:pPr>
              <w:widowControl w:val="0"/>
              <w:autoSpaceDE w:val="0"/>
              <w:autoSpaceDN w:val="0"/>
              <w:adjustRightInd w:val="0"/>
              <w:spacing w:after="40"/>
              <w:rPr>
                <w:sz w:val="20"/>
                <w:szCs w:val="20"/>
                <w:lang w:eastAsia="ja-JP"/>
              </w:rPr>
            </w:pPr>
          </w:p>
        </w:tc>
      </w:tr>
      <w:tr w:rsidR="006E2F12" w14:paraId="704CC239" w14:textId="77777777" w:rsidTr="00765893">
        <w:tc>
          <w:tcPr>
            <w:tcW w:w="0" w:type="auto"/>
            <w:tcBorders>
              <w:bottom w:val="single" w:sz="4" w:space="0" w:color="auto"/>
              <w:right w:val="nil"/>
            </w:tcBorders>
          </w:tcPr>
          <w:p w14:paraId="4FE9A48B" w14:textId="400E486A" w:rsidR="006E2F12" w:rsidRDefault="00765893" w:rsidP="00C742FF">
            <w:pPr>
              <w:widowControl w:val="0"/>
              <w:autoSpaceDE w:val="0"/>
              <w:autoSpaceDN w:val="0"/>
              <w:adjustRightInd w:val="0"/>
              <w:spacing w:after="40"/>
              <w:rPr>
                <w:sz w:val="20"/>
                <w:szCs w:val="20"/>
                <w:lang w:eastAsia="ja-JP"/>
              </w:rPr>
            </w:pPr>
            <w:r>
              <w:rPr>
                <w:sz w:val="20"/>
                <w:szCs w:val="20"/>
                <w:lang w:eastAsia="ja-JP"/>
              </w:rPr>
              <w:t>Flight</w:t>
            </w:r>
          </w:p>
        </w:tc>
        <w:tc>
          <w:tcPr>
            <w:tcW w:w="0" w:type="auto"/>
            <w:tcBorders>
              <w:left w:val="nil"/>
              <w:bottom w:val="single" w:sz="4" w:space="0" w:color="auto"/>
              <w:right w:val="nil"/>
            </w:tcBorders>
          </w:tcPr>
          <w:p w14:paraId="10C7FC84" w14:textId="1737BA10"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Date in 2013</w:t>
            </w:r>
          </w:p>
        </w:tc>
        <w:tc>
          <w:tcPr>
            <w:tcW w:w="0" w:type="auto"/>
            <w:tcBorders>
              <w:left w:val="nil"/>
              <w:bottom w:val="single" w:sz="4" w:space="0" w:color="auto"/>
              <w:right w:val="nil"/>
            </w:tcBorders>
          </w:tcPr>
          <w:p w14:paraId="632F19B6" w14:textId="50A75FAD" w:rsidR="006E2F12" w:rsidRPr="003C28C9" w:rsidRDefault="006E2F12" w:rsidP="006E2F12">
            <w:pPr>
              <w:widowControl w:val="0"/>
              <w:autoSpaceDE w:val="0"/>
              <w:autoSpaceDN w:val="0"/>
              <w:adjustRightInd w:val="0"/>
              <w:spacing w:after="40"/>
              <w:rPr>
                <w:sz w:val="20"/>
                <w:szCs w:val="20"/>
                <w:lang w:eastAsia="ja-JP"/>
              </w:rPr>
            </w:pPr>
            <w:r>
              <w:rPr>
                <w:sz w:val="20"/>
                <w:szCs w:val="20"/>
                <w:lang w:eastAsia="ja-JP"/>
              </w:rPr>
              <w:t>Flight time</w:t>
            </w:r>
            <w:r w:rsidR="00765893">
              <w:rPr>
                <w:sz w:val="20"/>
                <w:szCs w:val="20"/>
                <w:lang w:eastAsia="ja-JP"/>
              </w:rPr>
              <w:t xml:space="preserve"> (hours)</w:t>
            </w:r>
          </w:p>
        </w:tc>
        <w:tc>
          <w:tcPr>
            <w:tcW w:w="0" w:type="auto"/>
            <w:tcBorders>
              <w:left w:val="nil"/>
              <w:bottom w:val="single" w:sz="4" w:space="0" w:color="auto"/>
              <w:right w:val="nil"/>
            </w:tcBorders>
          </w:tcPr>
          <w:p w14:paraId="20FA3914" w14:textId="4759C366" w:rsidR="006E2F12" w:rsidRPr="003C28C9" w:rsidRDefault="006E2F12" w:rsidP="00C742FF">
            <w:pPr>
              <w:widowControl w:val="0"/>
              <w:tabs>
                <w:tab w:val="right" w:pos="1998"/>
              </w:tabs>
              <w:autoSpaceDE w:val="0"/>
              <w:autoSpaceDN w:val="0"/>
              <w:adjustRightInd w:val="0"/>
              <w:spacing w:after="40"/>
              <w:rPr>
                <w:sz w:val="20"/>
                <w:szCs w:val="20"/>
                <w:lang w:eastAsia="ja-JP"/>
              </w:rPr>
            </w:pPr>
            <w:r>
              <w:rPr>
                <w:sz w:val="20"/>
                <w:szCs w:val="20"/>
                <w:lang w:eastAsia="ja-JP"/>
              </w:rPr>
              <w:t>Tropical sampling region (south of 20 N)</w:t>
            </w:r>
          </w:p>
        </w:tc>
        <w:tc>
          <w:tcPr>
            <w:tcW w:w="0" w:type="auto"/>
            <w:tcBorders>
              <w:left w:val="nil"/>
              <w:bottom w:val="single" w:sz="4" w:space="0" w:color="auto"/>
              <w:right w:val="nil"/>
            </w:tcBorders>
          </w:tcPr>
          <w:p w14:paraId="3A6C8590" w14:textId="77777777"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Notes</w:t>
            </w:r>
          </w:p>
        </w:tc>
      </w:tr>
      <w:tr w:rsidR="006E2F12" w14:paraId="676C7930" w14:textId="77777777" w:rsidTr="00765893">
        <w:tc>
          <w:tcPr>
            <w:tcW w:w="0" w:type="auto"/>
            <w:tcBorders>
              <w:bottom w:val="nil"/>
              <w:right w:val="nil"/>
            </w:tcBorders>
          </w:tcPr>
          <w:p w14:paraId="113671D2" w14:textId="3A1EA06C" w:rsidR="006E2F12" w:rsidRDefault="006E2F12" w:rsidP="00C742FF">
            <w:pPr>
              <w:widowControl w:val="0"/>
              <w:autoSpaceDE w:val="0"/>
              <w:autoSpaceDN w:val="0"/>
              <w:adjustRightInd w:val="0"/>
              <w:spacing w:after="40"/>
              <w:rPr>
                <w:sz w:val="20"/>
                <w:szCs w:val="20"/>
                <w:lang w:eastAsia="ja-JP"/>
              </w:rPr>
            </w:pPr>
            <w:r>
              <w:rPr>
                <w:sz w:val="20"/>
                <w:szCs w:val="20"/>
                <w:lang w:eastAsia="ja-JP"/>
              </w:rPr>
              <w:t>RF01</w:t>
            </w:r>
          </w:p>
        </w:tc>
        <w:tc>
          <w:tcPr>
            <w:tcW w:w="0" w:type="auto"/>
            <w:tcBorders>
              <w:left w:val="nil"/>
              <w:bottom w:val="nil"/>
              <w:right w:val="nil"/>
            </w:tcBorders>
          </w:tcPr>
          <w:p w14:paraId="64A24918" w14:textId="1538598D"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 xml:space="preserve">5−6  </w:t>
            </w:r>
            <w:r w:rsidR="00765893">
              <w:rPr>
                <w:sz w:val="20"/>
                <w:szCs w:val="20"/>
                <w:lang w:eastAsia="ja-JP"/>
              </w:rPr>
              <w:t xml:space="preserve"> Febr</w:t>
            </w:r>
            <w:r>
              <w:rPr>
                <w:sz w:val="20"/>
                <w:szCs w:val="20"/>
                <w:lang w:eastAsia="ja-JP"/>
              </w:rPr>
              <w:t>uary</w:t>
            </w:r>
          </w:p>
        </w:tc>
        <w:tc>
          <w:tcPr>
            <w:tcW w:w="0" w:type="auto"/>
            <w:tcBorders>
              <w:left w:val="nil"/>
              <w:bottom w:val="nil"/>
              <w:right w:val="nil"/>
            </w:tcBorders>
          </w:tcPr>
          <w:p w14:paraId="40DAF77C" w14:textId="59B00F13"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24.5</w:t>
            </w:r>
          </w:p>
        </w:tc>
        <w:tc>
          <w:tcPr>
            <w:tcW w:w="0" w:type="auto"/>
            <w:tcBorders>
              <w:left w:val="nil"/>
              <w:bottom w:val="nil"/>
              <w:right w:val="nil"/>
            </w:tcBorders>
          </w:tcPr>
          <w:p w14:paraId="2B551AC1" w14:textId="67CE790B"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11.3−20 N, 142−151 W</w:t>
            </w:r>
          </w:p>
        </w:tc>
        <w:tc>
          <w:tcPr>
            <w:tcW w:w="0" w:type="auto"/>
            <w:tcBorders>
              <w:left w:val="nil"/>
              <w:bottom w:val="nil"/>
              <w:right w:val="nil"/>
            </w:tcBorders>
          </w:tcPr>
          <w:p w14:paraId="7AF01542" w14:textId="5B14BEB1"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Central Pacific TTL profiling</w:t>
            </w:r>
          </w:p>
        </w:tc>
      </w:tr>
      <w:tr w:rsidR="006E2F12" w14:paraId="489EEEE0" w14:textId="77777777" w:rsidTr="00765893">
        <w:tc>
          <w:tcPr>
            <w:tcW w:w="0" w:type="auto"/>
            <w:tcBorders>
              <w:top w:val="nil"/>
              <w:bottom w:val="nil"/>
              <w:right w:val="nil"/>
            </w:tcBorders>
          </w:tcPr>
          <w:p w14:paraId="0BB834E8" w14:textId="43FD1059" w:rsidR="006E2F12" w:rsidRDefault="006E2F12" w:rsidP="00C742FF">
            <w:pPr>
              <w:widowControl w:val="0"/>
              <w:autoSpaceDE w:val="0"/>
              <w:autoSpaceDN w:val="0"/>
              <w:adjustRightInd w:val="0"/>
              <w:spacing w:after="40"/>
              <w:rPr>
                <w:sz w:val="20"/>
                <w:szCs w:val="20"/>
                <w:lang w:eastAsia="ja-JP"/>
              </w:rPr>
            </w:pPr>
            <w:r>
              <w:rPr>
                <w:sz w:val="20"/>
                <w:szCs w:val="20"/>
                <w:lang w:eastAsia="ja-JP"/>
              </w:rPr>
              <w:t>RF02</w:t>
            </w:r>
          </w:p>
        </w:tc>
        <w:tc>
          <w:tcPr>
            <w:tcW w:w="0" w:type="auto"/>
            <w:tcBorders>
              <w:top w:val="nil"/>
              <w:left w:val="nil"/>
              <w:bottom w:val="nil"/>
              <w:right w:val="nil"/>
            </w:tcBorders>
          </w:tcPr>
          <w:p w14:paraId="47721C26" w14:textId="70B931CB"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9−10 February</w:t>
            </w:r>
          </w:p>
        </w:tc>
        <w:tc>
          <w:tcPr>
            <w:tcW w:w="0" w:type="auto"/>
            <w:tcBorders>
              <w:top w:val="nil"/>
              <w:left w:val="nil"/>
              <w:bottom w:val="nil"/>
              <w:right w:val="nil"/>
            </w:tcBorders>
          </w:tcPr>
          <w:p w14:paraId="7FAEC55A" w14:textId="6478ECF5"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24.3</w:t>
            </w:r>
          </w:p>
        </w:tc>
        <w:tc>
          <w:tcPr>
            <w:tcW w:w="0" w:type="auto"/>
            <w:tcBorders>
              <w:top w:val="nil"/>
              <w:left w:val="nil"/>
              <w:bottom w:val="nil"/>
              <w:right w:val="nil"/>
            </w:tcBorders>
          </w:tcPr>
          <w:p w14:paraId="6ED60EF2" w14:textId="5AA4D805"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10.1S−20N, 143−150 W</w:t>
            </w:r>
          </w:p>
        </w:tc>
        <w:tc>
          <w:tcPr>
            <w:tcW w:w="0" w:type="auto"/>
            <w:tcBorders>
              <w:top w:val="nil"/>
              <w:left w:val="nil"/>
              <w:bottom w:val="nil"/>
              <w:right w:val="nil"/>
            </w:tcBorders>
          </w:tcPr>
          <w:p w14:paraId="2508407E" w14:textId="32FA5EAC" w:rsidR="006E2F12" w:rsidRPr="003C28C9" w:rsidRDefault="006E2F12" w:rsidP="00C742FF">
            <w:pPr>
              <w:widowControl w:val="0"/>
              <w:autoSpaceDE w:val="0"/>
              <w:autoSpaceDN w:val="0"/>
              <w:adjustRightInd w:val="0"/>
              <w:spacing w:after="40"/>
              <w:rPr>
                <w:sz w:val="20"/>
                <w:szCs w:val="20"/>
                <w:lang w:eastAsia="ja-JP"/>
              </w:rPr>
            </w:pPr>
            <w:proofErr w:type="spellStart"/>
            <w:r>
              <w:rPr>
                <w:sz w:val="20"/>
                <w:szCs w:val="20"/>
                <w:lang w:eastAsia="ja-JP"/>
              </w:rPr>
              <w:t>Meridional</w:t>
            </w:r>
            <w:proofErr w:type="spellEnd"/>
            <w:r>
              <w:rPr>
                <w:sz w:val="20"/>
                <w:szCs w:val="20"/>
                <w:lang w:eastAsia="ja-JP"/>
              </w:rPr>
              <w:t xml:space="preserve"> TTL cross section</w:t>
            </w:r>
          </w:p>
        </w:tc>
      </w:tr>
      <w:tr w:rsidR="006E2F12" w14:paraId="271FC342" w14:textId="77777777" w:rsidTr="00765893">
        <w:tc>
          <w:tcPr>
            <w:tcW w:w="0" w:type="auto"/>
            <w:tcBorders>
              <w:top w:val="nil"/>
              <w:bottom w:val="nil"/>
              <w:right w:val="nil"/>
            </w:tcBorders>
          </w:tcPr>
          <w:p w14:paraId="04FA3472" w14:textId="5E68FA40" w:rsidR="006E2F12" w:rsidRDefault="006E2F12" w:rsidP="00C742FF">
            <w:pPr>
              <w:widowControl w:val="0"/>
              <w:autoSpaceDE w:val="0"/>
              <w:autoSpaceDN w:val="0"/>
              <w:adjustRightInd w:val="0"/>
              <w:spacing w:after="40"/>
              <w:rPr>
                <w:sz w:val="20"/>
                <w:szCs w:val="20"/>
                <w:lang w:eastAsia="ja-JP"/>
              </w:rPr>
            </w:pPr>
            <w:r>
              <w:rPr>
                <w:sz w:val="20"/>
                <w:szCs w:val="20"/>
                <w:lang w:eastAsia="ja-JP"/>
              </w:rPr>
              <w:t>RF03</w:t>
            </w:r>
          </w:p>
        </w:tc>
        <w:tc>
          <w:tcPr>
            <w:tcW w:w="0" w:type="auto"/>
            <w:tcBorders>
              <w:top w:val="nil"/>
              <w:left w:val="nil"/>
              <w:bottom w:val="nil"/>
              <w:right w:val="nil"/>
            </w:tcBorders>
          </w:tcPr>
          <w:p w14:paraId="143EDDB2" w14:textId="34D25B02"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14−15 February</w:t>
            </w:r>
          </w:p>
        </w:tc>
        <w:tc>
          <w:tcPr>
            <w:tcW w:w="0" w:type="auto"/>
            <w:tcBorders>
              <w:top w:val="nil"/>
              <w:left w:val="nil"/>
              <w:bottom w:val="nil"/>
              <w:right w:val="nil"/>
            </w:tcBorders>
          </w:tcPr>
          <w:p w14:paraId="4ACBB2BB" w14:textId="5FA36083"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24.5</w:t>
            </w:r>
          </w:p>
        </w:tc>
        <w:tc>
          <w:tcPr>
            <w:tcW w:w="0" w:type="auto"/>
            <w:tcBorders>
              <w:top w:val="nil"/>
              <w:left w:val="nil"/>
              <w:bottom w:val="nil"/>
              <w:right w:val="nil"/>
            </w:tcBorders>
          </w:tcPr>
          <w:p w14:paraId="03948B33" w14:textId="2AF094F4"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6.8−20 N, 141−172 W</w:t>
            </w:r>
          </w:p>
        </w:tc>
        <w:tc>
          <w:tcPr>
            <w:tcW w:w="0" w:type="auto"/>
            <w:tcBorders>
              <w:top w:val="nil"/>
              <w:left w:val="nil"/>
              <w:bottom w:val="nil"/>
              <w:right w:val="nil"/>
            </w:tcBorders>
          </w:tcPr>
          <w:p w14:paraId="74ACE024" w14:textId="21B946DC"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Central Pacific TTL profiling</w:t>
            </w:r>
          </w:p>
        </w:tc>
      </w:tr>
      <w:tr w:rsidR="006E2F12" w14:paraId="26D04A0F" w14:textId="77777777" w:rsidTr="00765893">
        <w:tc>
          <w:tcPr>
            <w:tcW w:w="0" w:type="auto"/>
            <w:tcBorders>
              <w:top w:val="nil"/>
              <w:bottom w:val="nil"/>
              <w:right w:val="nil"/>
            </w:tcBorders>
          </w:tcPr>
          <w:p w14:paraId="4DE3745C" w14:textId="7C5553DF" w:rsidR="006E2F12" w:rsidRDefault="006E2F12" w:rsidP="00C742FF">
            <w:pPr>
              <w:widowControl w:val="0"/>
              <w:autoSpaceDE w:val="0"/>
              <w:autoSpaceDN w:val="0"/>
              <w:adjustRightInd w:val="0"/>
              <w:spacing w:after="40"/>
              <w:rPr>
                <w:sz w:val="20"/>
                <w:szCs w:val="20"/>
                <w:lang w:eastAsia="ja-JP"/>
              </w:rPr>
            </w:pPr>
            <w:r>
              <w:rPr>
                <w:sz w:val="20"/>
                <w:szCs w:val="20"/>
                <w:lang w:eastAsia="ja-JP"/>
              </w:rPr>
              <w:t>RF04</w:t>
            </w:r>
          </w:p>
        </w:tc>
        <w:tc>
          <w:tcPr>
            <w:tcW w:w="0" w:type="auto"/>
            <w:tcBorders>
              <w:top w:val="nil"/>
              <w:left w:val="nil"/>
              <w:bottom w:val="nil"/>
              <w:right w:val="nil"/>
            </w:tcBorders>
          </w:tcPr>
          <w:p w14:paraId="08929053" w14:textId="0DBAAF4A"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21−22 February</w:t>
            </w:r>
          </w:p>
        </w:tc>
        <w:tc>
          <w:tcPr>
            <w:tcW w:w="0" w:type="auto"/>
            <w:tcBorders>
              <w:top w:val="nil"/>
              <w:left w:val="nil"/>
              <w:bottom w:val="nil"/>
              <w:right w:val="nil"/>
            </w:tcBorders>
          </w:tcPr>
          <w:p w14:paraId="79B76F5B" w14:textId="44319128"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24.6</w:t>
            </w:r>
          </w:p>
        </w:tc>
        <w:tc>
          <w:tcPr>
            <w:tcW w:w="0" w:type="auto"/>
            <w:tcBorders>
              <w:top w:val="nil"/>
              <w:left w:val="nil"/>
              <w:bottom w:val="nil"/>
              <w:right w:val="nil"/>
            </w:tcBorders>
          </w:tcPr>
          <w:p w14:paraId="0D37E089" w14:textId="5AC58313"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12.3S−20N, 100−114 W</w:t>
            </w:r>
          </w:p>
        </w:tc>
        <w:tc>
          <w:tcPr>
            <w:tcW w:w="0" w:type="auto"/>
            <w:tcBorders>
              <w:top w:val="nil"/>
              <w:left w:val="nil"/>
              <w:bottom w:val="nil"/>
              <w:right w:val="nil"/>
            </w:tcBorders>
          </w:tcPr>
          <w:p w14:paraId="33AD9F98" w14:textId="725F732F"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 xml:space="preserve">Eastern Pacific </w:t>
            </w:r>
            <w:proofErr w:type="spellStart"/>
            <w:r>
              <w:rPr>
                <w:sz w:val="20"/>
                <w:szCs w:val="20"/>
                <w:lang w:eastAsia="ja-JP"/>
              </w:rPr>
              <w:t>meridional</w:t>
            </w:r>
            <w:proofErr w:type="spellEnd"/>
            <w:r>
              <w:rPr>
                <w:sz w:val="20"/>
                <w:szCs w:val="20"/>
                <w:lang w:eastAsia="ja-JP"/>
              </w:rPr>
              <w:t xml:space="preserve"> cross section</w:t>
            </w:r>
          </w:p>
        </w:tc>
      </w:tr>
      <w:tr w:rsidR="006E2F12" w14:paraId="0458EA5C" w14:textId="77777777" w:rsidTr="000928D0">
        <w:tc>
          <w:tcPr>
            <w:tcW w:w="0" w:type="auto"/>
            <w:tcBorders>
              <w:top w:val="nil"/>
              <w:bottom w:val="nil"/>
              <w:right w:val="nil"/>
            </w:tcBorders>
          </w:tcPr>
          <w:p w14:paraId="0B5AC28C" w14:textId="707F7E0E" w:rsidR="006E2F12" w:rsidRDefault="006E2F12" w:rsidP="00C742FF">
            <w:pPr>
              <w:widowControl w:val="0"/>
              <w:autoSpaceDE w:val="0"/>
              <w:autoSpaceDN w:val="0"/>
              <w:adjustRightInd w:val="0"/>
              <w:spacing w:after="40"/>
              <w:rPr>
                <w:sz w:val="20"/>
                <w:szCs w:val="20"/>
                <w:lang w:eastAsia="ja-JP"/>
              </w:rPr>
            </w:pPr>
            <w:r>
              <w:rPr>
                <w:sz w:val="20"/>
                <w:szCs w:val="20"/>
                <w:lang w:eastAsia="ja-JP"/>
              </w:rPr>
              <w:t>RF05</w:t>
            </w:r>
          </w:p>
        </w:tc>
        <w:tc>
          <w:tcPr>
            <w:tcW w:w="0" w:type="auto"/>
            <w:tcBorders>
              <w:top w:val="nil"/>
              <w:left w:val="nil"/>
              <w:bottom w:val="nil"/>
              <w:right w:val="nil"/>
            </w:tcBorders>
          </w:tcPr>
          <w:p w14:paraId="1FB5F200" w14:textId="29F3DC64"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26−27 February</w:t>
            </w:r>
          </w:p>
        </w:tc>
        <w:tc>
          <w:tcPr>
            <w:tcW w:w="0" w:type="auto"/>
            <w:tcBorders>
              <w:top w:val="nil"/>
              <w:left w:val="nil"/>
              <w:bottom w:val="nil"/>
              <w:right w:val="nil"/>
            </w:tcBorders>
          </w:tcPr>
          <w:p w14:paraId="2211A798" w14:textId="0C469E5B"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24.4</w:t>
            </w:r>
          </w:p>
        </w:tc>
        <w:tc>
          <w:tcPr>
            <w:tcW w:w="0" w:type="auto"/>
            <w:tcBorders>
              <w:top w:val="nil"/>
              <w:left w:val="nil"/>
              <w:bottom w:val="nil"/>
              <w:right w:val="nil"/>
            </w:tcBorders>
          </w:tcPr>
          <w:p w14:paraId="1A573189" w14:textId="41D350C0" w:rsidR="006E2F12" w:rsidRPr="003C28C9" w:rsidRDefault="006E2F12" w:rsidP="00267058">
            <w:pPr>
              <w:widowControl w:val="0"/>
              <w:autoSpaceDE w:val="0"/>
              <w:autoSpaceDN w:val="0"/>
              <w:adjustRightInd w:val="0"/>
              <w:spacing w:after="40"/>
              <w:rPr>
                <w:sz w:val="20"/>
                <w:szCs w:val="20"/>
                <w:lang w:eastAsia="ja-JP"/>
              </w:rPr>
            </w:pPr>
            <w:r>
              <w:rPr>
                <w:sz w:val="20"/>
                <w:szCs w:val="20"/>
                <w:lang w:eastAsia="ja-JP"/>
              </w:rPr>
              <w:t>6.5−20 N, 147−174 W</w:t>
            </w:r>
          </w:p>
        </w:tc>
        <w:tc>
          <w:tcPr>
            <w:tcW w:w="0" w:type="auto"/>
            <w:tcBorders>
              <w:top w:val="nil"/>
              <w:left w:val="nil"/>
              <w:bottom w:val="nil"/>
              <w:right w:val="nil"/>
            </w:tcBorders>
          </w:tcPr>
          <w:p w14:paraId="1E141AE8" w14:textId="7BD8A47F"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Central Pacific cold TTL cirrus profiling</w:t>
            </w:r>
          </w:p>
        </w:tc>
      </w:tr>
      <w:tr w:rsidR="006E2F12" w14:paraId="1664ECDC" w14:textId="77777777" w:rsidTr="000928D0">
        <w:tc>
          <w:tcPr>
            <w:tcW w:w="0" w:type="auto"/>
            <w:tcBorders>
              <w:top w:val="nil"/>
              <w:bottom w:val="single" w:sz="4" w:space="0" w:color="auto"/>
              <w:right w:val="nil"/>
            </w:tcBorders>
          </w:tcPr>
          <w:p w14:paraId="1DE5D117" w14:textId="6613DC97" w:rsidR="006E2F12" w:rsidRDefault="006E2F12" w:rsidP="00C742FF">
            <w:pPr>
              <w:widowControl w:val="0"/>
              <w:autoSpaceDE w:val="0"/>
              <w:autoSpaceDN w:val="0"/>
              <w:adjustRightInd w:val="0"/>
              <w:spacing w:after="40"/>
              <w:rPr>
                <w:sz w:val="20"/>
                <w:szCs w:val="20"/>
                <w:lang w:eastAsia="ja-JP"/>
              </w:rPr>
            </w:pPr>
            <w:r>
              <w:rPr>
                <w:sz w:val="20"/>
                <w:szCs w:val="20"/>
                <w:lang w:eastAsia="ja-JP"/>
              </w:rPr>
              <w:t>RF06</w:t>
            </w:r>
          </w:p>
        </w:tc>
        <w:tc>
          <w:tcPr>
            <w:tcW w:w="0" w:type="auto"/>
            <w:tcBorders>
              <w:top w:val="nil"/>
              <w:left w:val="nil"/>
              <w:bottom w:val="single" w:sz="4" w:space="0" w:color="auto"/>
              <w:right w:val="nil"/>
            </w:tcBorders>
          </w:tcPr>
          <w:p w14:paraId="6223881D" w14:textId="33E61CA6"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1−2 March</w:t>
            </w:r>
          </w:p>
        </w:tc>
        <w:tc>
          <w:tcPr>
            <w:tcW w:w="0" w:type="auto"/>
            <w:tcBorders>
              <w:top w:val="nil"/>
              <w:left w:val="nil"/>
              <w:bottom w:val="single" w:sz="4" w:space="0" w:color="auto"/>
              <w:right w:val="nil"/>
            </w:tcBorders>
          </w:tcPr>
          <w:p w14:paraId="08299F53" w14:textId="0FA83581"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24.1</w:t>
            </w:r>
          </w:p>
        </w:tc>
        <w:tc>
          <w:tcPr>
            <w:tcW w:w="0" w:type="auto"/>
            <w:tcBorders>
              <w:top w:val="nil"/>
              <w:left w:val="nil"/>
              <w:bottom w:val="single" w:sz="4" w:space="0" w:color="auto"/>
              <w:right w:val="nil"/>
            </w:tcBorders>
          </w:tcPr>
          <w:p w14:paraId="3FD1DE03" w14:textId="6F929B13"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0.2−20 N, 93−111 W</w:t>
            </w:r>
          </w:p>
        </w:tc>
        <w:tc>
          <w:tcPr>
            <w:tcW w:w="0" w:type="auto"/>
            <w:tcBorders>
              <w:top w:val="nil"/>
              <w:left w:val="nil"/>
              <w:bottom w:val="single" w:sz="4" w:space="0" w:color="auto"/>
              <w:right w:val="nil"/>
            </w:tcBorders>
          </w:tcPr>
          <w:p w14:paraId="713EEF08" w14:textId="06D9B30D" w:rsidR="006E2F12" w:rsidRPr="003C28C9" w:rsidRDefault="006E2F12" w:rsidP="00C742FF">
            <w:pPr>
              <w:widowControl w:val="0"/>
              <w:autoSpaceDE w:val="0"/>
              <w:autoSpaceDN w:val="0"/>
              <w:adjustRightInd w:val="0"/>
              <w:spacing w:after="40"/>
              <w:rPr>
                <w:sz w:val="20"/>
                <w:szCs w:val="20"/>
                <w:lang w:eastAsia="ja-JP"/>
              </w:rPr>
            </w:pPr>
            <w:r>
              <w:rPr>
                <w:sz w:val="20"/>
                <w:szCs w:val="20"/>
                <w:lang w:eastAsia="ja-JP"/>
              </w:rPr>
              <w:t>Eastern Pacific cold TTL cirrus profiling</w:t>
            </w:r>
          </w:p>
        </w:tc>
      </w:tr>
    </w:tbl>
    <w:p w14:paraId="6FA742B4" w14:textId="77777777" w:rsidR="00C742FF" w:rsidRDefault="00C742FF" w:rsidP="00DB1EA7">
      <w:pPr>
        <w:widowControl w:val="0"/>
        <w:autoSpaceDE w:val="0"/>
        <w:autoSpaceDN w:val="0"/>
        <w:adjustRightInd w:val="0"/>
        <w:spacing w:after="240"/>
        <w:rPr>
          <w:lang w:eastAsia="ja-JP"/>
        </w:rPr>
      </w:pPr>
    </w:p>
    <w:p w14:paraId="1B734E90" w14:textId="77777777" w:rsidR="00923BED" w:rsidRDefault="00753400" w:rsidP="00923BED">
      <w:pPr>
        <w:widowControl w:val="0"/>
        <w:autoSpaceDE w:val="0"/>
        <w:autoSpaceDN w:val="0"/>
        <w:adjustRightInd w:val="0"/>
        <w:spacing w:after="240"/>
        <w:rPr>
          <w:b/>
          <w:lang w:eastAsia="ja-JP"/>
        </w:rPr>
      </w:pPr>
      <w:r>
        <w:rPr>
          <w:noProof/>
        </w:rPr>
        <w:drawing>
          <wp:inline distT="0" distB="0" distL="0" distR="0" wp14:anchorId="6B3AE2BC" wp14:editId="257EA9BA">
            <wp:extent cx="4738138" cy="3316696"/>
            <wp:effectExtent l="0" t="0" r="1206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ex2_flightpaths.jpg"/>
                    <pic:cNvPicPr/>
                  </pic:nvPicPr>
                  <pic:blipFill>
                    <a:blip r:embed="rId6">
                      <a:extLst>
                        <a:ext uri="{28A0092B-C50C-407E-A947-70E740481C1C}">
                          <a14:useLocalDpi xmlns:a14="http://schemas.microsoft.com/office/drawing/2010/main" val="0"/>
                        </a:ext>
                      </a:extLst>
                    </a:blip>
                    <a:stretch>
                      <a:fillRect/>
                    </a:stretch>
                  </pic:blipFill>
                  <pic:spPr>
                    <a:xfrm>
                      <a:off x="0" y="0"/>
                      <a:ext cx="4738138" cy="3316696"/>
                    </a:xfrm>
                    <a:prstGeom prst="rect">
                      <a:avLst/>
                    </a:prstGeom>
                  </pic:spPr>
                </pic:pic>
              </a:graphicData>
            </a:graphic>
          </wp:inline>
        </w:drawing>
      </w:r>
      <w:r w:rsidR="00923BED" w:rsidRPr="00923BED">
        <w:rPr>
          <w:b/>
          <w:lang w:eastAsia="ja-JP"/>
        </w:rPr>
        <w:t xml:space="preserve"> </w:t>
      </w:r>
    </w:p>
    <w:p w14:paraId="00BF3264" w14:textId="7A202165" w:rsidR="00923BED" w:rsidRPr="00BD7902" w:rsidRDefault="00707B32" w:rsidP="00923BED">
      <w:pPr>
        <w:widowControl w:val="0"/>
        <w:autoSpaceDE w:val="0"/>
        <w:autoSpaceDN w:val="0"/>
        <w:adjustRightInd w:val="0"/>
        <w:spacing w:after="240"/>
        <w:rPr>
          <w:lang w:eastAsia="ja-JP"/>
        </w:rPr>
      </w:pPr>
      <w:r>
        <w:rPr>
          <w:b/>
          <w:lang w:eastAsia="ja-JP"/>
        </w:rPr>
        <w:t>Figure 2</w:t>
      </w:r>
      <w:r w:rsidR="00923BED">
        <w:rPr>
          <w:b/>
          <w:lang w:eastAsia="ja-JP"/>
        </w:rPr>
        <w:t>.</w:t>
      </w:r>
      <w:r w:rsidR="00923BED">
        <w:rPr>
          <w:lang w:eastAsia="ja-JP"/>
        </w:rPr>
        <w:t xml:space="preserve">  Flight paths for 2011 ATTREX flights.</w:t>
      </w:r>
    </w:p>
    <w:p w14:paraId="0B447CDB" w14:textId="27B1CE0F" w:rsidR="00697A3F" w:rsidRDefault="00697A3F" w:rsidP="00DB1EA7">
      <w:pPr>
        <w:widowControl w:val="0"/>
        <w:autoSpaceDE w:val="0"/>
        <w:autoSpaceDN w:val="0"/>
        <w:adjustRightInd w:val="0"/>
        <w:spacing w:after="240"/>
        <w:rPr>
          <w:lang w:eastAsia="ja-JP"/>
        </w:rPr>
      </w:pPr>
      <w:r>
        <w:rPr>
          <w:noProof/>
        </w:rPr>
        <w:drawing>
          <wp:inline distT="0" distB="0" distL="0" distR="0" wp14:anchorId="07766590" wp14:editId="45C31351">
            <wp:extent cx="4738138" cy="3316696"/>
            <wp:effectExtent l="0" t="0" r="1206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ex2_flightpaths.jpg"/>
                    <pic:cNvPicPr/>
                  </pic:nvPicPr>
                  <pic:blipFill>
                    <a:blip r:embed="rId7">
                      <a:extLst>
                        <a:ext uri="{28A0092B-C50C-407E-A947-70E740481C1C}">
                          <a14:useLocalDpi xmlns:a14="http://schemas.microsoft.com/office/drawing/2010/main" val="0"/>
                        </a:ext>
                      </a:extLst>
                    </a:blip>
                    <a:stretch>
                      <a:fillRect/>
                    </a:stretch>
                  </pic:blipFill>
                  <pic:spPr>
                    <a:xfrm>
                      <a:off x="0" y="0"/>
                      <a:ext cx="4738138" cy="3316696"/>
                    </a:xfrm>
                    <a:prstGeom prst="rect">
                      <a:avLst/>
                    </a:prstGeom>
                  </pic:spPr>
                </pic:pic>
              </a:graphicData>
            </a:graphic>
          </wp:inline>
        </w:drawing>
      </w:r>
    </w:p>
    <w:p w14:paraId="5D769262" w14:textId="190B67EB" w:rsidR="00697A3F" w:rsidRPr="00707B32" w:rsidRDefault="00707B32" w:rsidP="00DB1EA7">
      <w:pPr>
        <w:widowControl w:val="0"/>
        <w:autoSpaceDE w:val="0"/>
        <w:autoSpaceDN w:val="0"/>
        <w:adjustRightInd w:val="0"/>
        <w:spacing w:after="240"/>
        <w:rPr>
          <w:b/>
          <w:lang w:eastAsia="ja-JP"/>
        </w:rPr>
      </w:pPr>
      <w:r>
        <w:rPr>
          <w:b/>
          <w:lang w:eastAsia="ja-JP"/>
        </w:rPr>
        <w:t>Figure 3</w:t>
      </w:r>
      <w:r w:rsidR="00BD7902">
        <w:rPr>
          <w:b/>
          <w:lang w:eastAsia="ja-JP"/>
        </w:rPr>
        <w:t>.</w:t>
      </w:r>
      <w:r w:rsidR="00BD7902">
        <w:rPr>
          <w:lang w:eastAsia="ja-JP"/>
        </w:rPr>
        <w:t xml:space="preserve">  Flight paths for 2013 ATTREX flights.</w:t>
      </w:r>
      <w:r w:rsidR="00410B56">
        <w:rPr>
          <w:lang w:eastAsia="ja-JP"/>
        </w:rPr>
        <w:t xml:space="preserve">  Note the different latitude/longitude range here than in Figure 2.</w:t>
      </w:r>
    </w:p>
    <w:p w14:paraId="4E692785" w14:textId="48DABDA8" w:rsidR="00E9346A" w:rsidRDefault="00CB193D" w:rsidP="00DB1EA7">
      <w:pPr>
        <w:widowControl w:val="0"/>
        <w:autoSpaceDE w:val="0"/>
        <w:autoSpaceDN w:val="0"/>
        <w:adjustRightInd w:val="0"/>
        <w:spacing w:after="240"/>
        <w:rPr>
          <w:lang w:eastAsia="ja-JP"/>
        </w:rPr>
      </w:pPr>
      <w:r>
        <w:rPr>
          <w:lang w:eastAsia="ja-JP"/>
        </w:rPr>
        <w:t xml:space="preserve">In </w:t>
      </w:r>
      <w:r w:rsidR="00BA33CE">
        <w:rPr>
          <w:lang w:eastAsia="ja-JP"/>
        </w:rPr>
        <w:t>February</w:t>
      </w:r>
      <w:r w:rsidR="00E9346A">
        <w:rPr>
          <w:lang w:eastAsia="ja-JP"/>
        </w:rPr>
        <w:t xml:space="preserve">-March </w:t>
      </w:r>
      <w:r>
        <w:rPr>
          <w:lang w:eastAsia="ja-JP"/>
        </w:rPr>
        <w:t>2013, six ATTREX flights were conducted from DFRC into the deep tropics</w:t>
      </w:r>
      <w:r w:rsidR="00707B32">
        <w:rPr>
          <w:lang w:eastAsia="ja-JP"/>
        </w:rPr>
        <w:t xml:space="preserve"> (see Figure 3</w:t>
      </w:r>
      <w:r w:rsidR="00E16E37">
        <w:rPr>
          <w:lang w:eastAsia="ja-JP"/>
        </w:rPr>
        <w:t xml:space="preserve"> and Table 2)</w:t>
      </w:r>
      <w:r>
        <w:rPr>
          <w:lang w:eastAsia="ja-JP"/>
        </w:rPr>
        <w:t xml:space="preserve">.  </w:t>
      </w:r>
      <w:r w:rsidR="00E9346A">
        <w:rPr>
          <w:lang w:eastAsia="ja-JP"/>
        </w:rPr>
        <w:t xml:space="preserve">Again, the flights targeted cold </w:t>
      </w:r>
      <w:proofErr w:type="spellStart"/>
      <w:r w:rsidR="00E9346A">
        <w:rPr>
          <w:lang w:eastAsia="ja-JP"/>
        </w:rPr>
        <w:t>tropopause</w:t>
      </w:r>
      <w:proofErr w:type="spellEnd"/>
      <w:r w:rsidR="00E9346A">
        <w:rPr>
          <w:lang w:eastAsia="ja-JP"/>
        </w:rPr>
        <w:t xml:space="preserve"> regions where TTL cirrus was </w:t>
      </w:r>
      <w:r w:rsidR="00BA33CE">
        <w:rPr>
          <w:lang w:eastAsia="ja-JP"/>
        </w:rPr>
        <w:t>likely</w:t>
      </w:r>
      <w:r w:rsidR="00E9346A">
        <w:rPr>
          <w:lang w:eastAsia="ja-JP"/>
        </w:rPr>
        <w:t xml:space="preserve"> (typically west of Hawaii or in the extreme eastern Pacifi</w:t>
      </w:r>
      <w:r w:rsidR="00F11436">
        <w:rPr>
          <w:lang w:eastAsia="ja-JP"/>
        </w:rPr>
        <w:t>c), and regions with convective</w:t>
      </w:r>
      <w:r w:rsidR="00E9346A">
        <w:rPr>
          <w:lang w:eastAsia="ja-JP"/>
        </w:rPr>
        <w:t xml:space="preserve"> in</w:t>
      </w:r>
      <w:r w:rsidR="00F11436">
        <w:rPr>
          <w:lang w:eastAsia="ja-JP"/>
        </w:rPr>
        <w:t>to</w:t>
      </w:r>
      <w:r w:rsidR="00E9346A">
        <w:rPr>
          <w:lang w:eastAsia="ja-JP"/>
        </w:rPr>
        <w:t xml:space="preserve"> the upper TTL.  RF02 and RF04 provided surveys of TTL composition versus latitude.</w:t>
      </w:r>
    </w:p>
    <w:p w14:paraId="28DA959E" w14:textId="6D4DFAF0" w:rsidR="00697A3F" w:rsidRDefault="00707B32" w:rsidP="00DB1EA7">
      <w:pPr>
        <w:widowControl w:val="0"/>
        <w:autoSpaceDE w:val="0"/>
        <w:autoSpaceDN w:val="0"/>
        <w:adjustRightInd w:val="0"/>
        <w:spacing w:after="240"/>
        <w:rPr>
          <w:lang w:eastAsia="ja-JP"/>
        </w:rPr>
      </w:pPr>
      <w:r>
        <w:rPr>
          <w:lang w:eastAsia="ja-JP"/>
        </w:rPr>
        <w:t>Figure 4</w:t>
      </w:r>
      <w:r w:rsidR="00CC081D">
        <w:rPr>
          <w:lang w:eastAsia="ja-JP"/>
        </w:rPr>
        <w:t xml:space="preserve"> shows an example of </w:t>
      </w:r>
      <w:r w:rsidR="00D864A3">
        <w:rPr>
          <w:lang w:eastAsia="ja-JP"/>
        </w:rPr>
        <w:t xml:space="preserve">the TTL sampling strategy used on these flights.  </w:t>
      </w:r>
      <w:r w:rsidR="00CB193D">
        <w:rPr>
          <w:lang w:eastAsia="ja-JP"/>
        </w:rPr>
        <w:t xml:space="preserve">An even greater emphasis </w:t>
      </w:r>
      <w:r w:rsidR="00E16E37">
        <w:rPr>
          <w:lang w:eastAsia="ja-JP"/>
        </w:rPr>
        <w:t xml:space="preserve">was placed </w:t>
      </w:r>
      <w:r w:rsidR="00CB193D">
        <w:rPr>
          <w:lang w:eastAsia="ja-JP"/>
        </w:rPr>
        <w:t xml:space="preserve">on vertical profiling </w:t>
      </w:r>
      <w:r w:rsidR="00020BE7">
        <w:rPr>
          <w:lang w:eastAsia="ja-JP"/>
        </w:rPr>
        <w:t>through the TTL</w:t>
      </w:r>
      <w:r w:rsidR="00D864A3">
        <w:rPr>
          <w:lang w:eastAsia="ja-JP"/>
        </w:rPr>
        <w:t xml:space="preserve"> than in the 2011 flights</w:t>
      </w:r>
      <w:r w:rsidR="00020BE7">
        <w:rPr>
          <w:lang w:eastAsia="ja-JP"/>
        </w:rPr>
        <w:t>.</w:t>
      </w:r>
      <w:r w:rsidR="00E16E37">
        <w:rPr>
          <w:lang w:eastAsia="ja-JP"/>
        </w:rPr>
        <w:t xml:space="preserve">  </w:t>
      </w:r>
      <w:r w:rsidR="00FE6B10">
        <w:rPr>
          <w:lang w:eastAsia="ja-JP"/>
        </w:rPr>
        <w:t>The number of TTL profiles per flight ranged from 16 to 24</w:t>
      </w:r>
      <w:r w:rsidR="008336C9">
        <w:rPr>
          <w:lang w:eastAsia="ja-JP"/>
        </w:rPr>
        <w:t>.</w:t>
      </w:r>
      <w:r w:rsidR="00E9346A">
        <w:rPr>
          <w:lang w:eastAsia="ja-JP"/>
        </w:rPr>
        <w:t xml:space="preserve"> </w:t>
      </w:r>
      <w:r w:rsidR="00522C2B">
        <w:rPr>
          <w:lang w:eastAsia="ja-JP"/>
        </w:rPr>
        <w:t>As a result of a required reduction of the payload power draw when the engine is powered down during descent</w:t>
      </w:r>
      <w:r w:rsidR="00BA33CE">
        <w:rPr>
          <w:lang w:eastAsia="ja-JP"/>
        </w:rPr>
        <w:t>s</w:t>
      </w:r>
      <w:r w:rsidR="00522C2B">
        <w:rPr>
          <w:lang w:eastAsia="ja-JP"/>
        </w:rPr>
        <w:t>, the GWAS instrument was only powered and takin</w:t>
      </w:r>
      <w:r w:rsidR="00522B6E">
        <w:rPr>
          <w:lang w:eastAsia="ja-JP"/>
        </w:rPr>
        <w:t>g samples on ascents.</w:t>
      </w:r>
      <w:r w:rsidR="00E9346A">
        <w:rPr>
          <w:lang w:eastAsia="ja-JP"/>
        </w:rPr>
        <w:t xml:space="preserve">  The engineering for the Hawkeye wing mount was still not complete in time for the 2013 flights, and FCDP was flown again as a substitute.</w:t>
      </w:r>
    </w:p>
    <w:p w14:paraId="64AA83F8" w14:textId="77777777" w:rsidR="00697A3F" w:rsidRDefault="00697A3F" w:rsidP="00DB1EA7">
      <w:pPr>
        <w:widowControl w:val="0"/>
        <w:autoSpaceDE w:val="0"/>
        <w:autoSpaceDN w:val="0"/>
        <w:adjustRightInd w:val="0"/>
        <w:spacing w:after="240"/>
        <w:rPr>
          <w:lang w:eastAsia="ja-JP"/>
        </w:rPr>
      </w:pPr>
    </w:p>
    <w:p w14:paraId="7C95BC6C" w14:textId="77777777" w:rsidR="00697A3F" w:rsidRDefault="00697A3F" w:rsidP="00DB1EA7">
      <w:pPr>
        <w:widowControl w:val="0"/>
        <w:autoSpaceDE w:val="0"/>
        <w:autoSpaceDN w:val="0"/>
        <w:adjustRightInd w:val="0"/>
        <w:spacing w:after="240"/>
        <w:rPr>
          <w:lang w:eastAsia="ja-JP"/>
        </w:rPr>
      </w:pPr>
    </w:p>
    <w:p w14:paraId="176A7AB1" w14:textId="77777777" w:rsidR="00697A3F" w:rsidRDefault="00697A3F" w:rsidP="00DB1EA7">
      <w:pPr>
        <w:widowControl w:val="0"/>
        <w:autoSpaceDE w:val="0"/>
        <w:autoSpaceDN w:val="0"/>
        <w:adjustRightInd w:val="0"/>
        <w:spacing w:after="240"/>
        <w:rPr>
          <w:lang w:eastAsia="ja-JP"/>
        </w:rPr>
      </w:pPr>
    </w:p>
    <w:p w14:paraId="6AF18ABA" w14:textId="77777777" w:rsidR="00697A3F" w:rsidRDefault="00697A3F" w:rsidP="00DB1EA7">
      <w:pPr>
        <w:widowControl w:val="0"/>
        <w:autoSpaceDE w:val="0"/>
        <w:autoSpaceDN w:val="0"/>
        <w:adjustRightInd w:val="0"/>
        <w:spacing w:after="240"/>
        <w:rPr>
          <w:lang w:eastAsia="ja-JP"/>
        </w:rPr>
      </w:pPr>
    </w:p>
    <w:p w14:paraId="4F63E4C6" w14:textId="77777777" w:rsidR="00697A3F" w:rsidRDefault="00697A3F" w:rsidP="00DB1EA7">
      <w:pPr>
        <w:widowControl w:val="0"/>
        <w:autoSpaceDE w:val="0"/>
        <w:autoSpaceDN w:val="0"/>
        <w:adjustRightInd w:val="0"/>
        <w:spacing w:after="240"/>
        <w:rPr>
          <w:lang w:eastAsia="ja-JP"/>
        </w:rPr>
      </w:pPr>
    </w:p>
    <w:p w14:paraId="464C6CA7" w14:textId="77777777" w:rsidR="00697A3F" w:rsidRDefault="00697A3F" w:rsidP="00DB1EA7">
      <w:pPr>
        <w:widowControl w:val="0"/>
        <w:autoSpaceDE w:val="0"/>
        <w:autoSpaceDN w:val="0"/>
        <w:adjustRightInd w:val="0"/>
        <w:spacing w:after="240"/>
        <w:rPr>
          <w:lang w:eastAsia="ja-JP"/>
        </w:rPr>
      </w:pPr>
    </w:p>
    <w:p w14:paraId="544AD79E" w14:textId="77777777" w:rsidR="00697A3F" w:rsidRDefault="00697A3F" w:rsidP="00DB1EA7">
      <w:pPr>
        <w:widowControl w:val="0"/>
        <w:autoSpaceDE w:val="0"/>
        <w:autoSpaceDN w:val="0"/>
        <w:adjustRightInd w:val="0"/>
        <w:spacing w:after="240"/>
        <w:rPr>
          <w:lang w:eastAsia="ja-JP"/>
        </w:rPr>
      </w:pPr>
    </w:p>
    <w:p w14:paraId="563EBC63" w14:textId="77777777" w:rsidR="00697A3F" w:rsidRDefault="00697A3F" w:rsidP="00DB1EA7">
      <w:pPr>
        <w:widowControl w:val="0"/>
        <w:autoSpaceDE w:val="0"/>
        <w:autoSpaceDN w:val="0"/>
        <w:adjustRightInd w:val="0"/>
        <w:spacing w:after="240"/>
        <w:rPr>
          <w:lang w:eastAsia="ja-JP"/>
        </w:rPr>
      </w:pPr>
    </w:p>
    <w:p w14:paraId="51721172" w14:textId="59BF81A0" w:rsidR="007C0A31" w:rsidRDefault="00E85E4C" w:rsidP="00DB1EA7">
      <w:pPr>
        <w:widowControl w:val="0"/>
        <w:autoSpaceDE w:val="0"/>
        <w:autoSpaceDN w:val="0"/>
        <w:adjustRightInd w:val="0"/>
        <w:spacing w:after="240"/>
        <w:rPr>
          <w:lang w:eastAsia="ja-JP"/>
        </w:rPr>
      </w:pPr>
      <w:r>
        <w:rPr>
          <w:noProof/>
        </w:rPr>
        <w:drawing>
          <wp:inline distT="0" distB="0" distL="0" distR="0" wp14:anchorId="22DCCE1D" wp14:editId="6148874C">
            <wp:extent cx="5486400" cy="4518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04_vertical_sampling.eps"/>
                    <pic:cNvPicPr/>
                  </pic:nvPicPr>
                  <pic:blipFill>
                    <a:blip r:embed="rId8">
                      <a:extLst>
                        <a:ext uri="{28A0092B-C50C-407E-A947-70E740481C1C}">
                          <a14:useLocalDpi xmlns:a14="http://schemas.microsoft.com/office/drawing/2010/main" val="0"/>
                        </a:ext>
                      </a:extLst>
                    </a:blip>
                    <a:stretch>
                      <a:fillRect/>
                    </a:stretch>
                  </pic:blipFill>
                  <pic:spPr>
                    <a:xfrm>
                      <a:off x="0" y="0"/>
                      <a:ext cx="5486400" cy="4518025"/>
                    </a:xfrm>
                    <a:prstGeom prst="rect">
                      <a:avLst/>
                    </a:prstGeom>
                  </pic:spPr>
                </pic:pic>
              </a:graphicData>
            </a:graphic>
          </wp:inline>
        </w:drawing>
      </w:r>
    </w:p>
    <w:p w14:paraId="12DEB6CA" w14:textId="47320514" w:rsidR="00CC3EEE" w:rsidRDefault="00707B32" w:rsidP="00DB1EA7">
      <w:pPr>
        <w:widowControl w:val="0"/>
        <w:autoSpaceDE w:val="0"/>
        <w:autoSpaceDN w:val="0"/>
        <w:adjustRightInd w:val="0"/>
        <w:spacing w:after="240"/>
      </w:pPr>
      <w:r>
        <w:rPr>
          <w:b/>
        </w:rPr>
        <w:t>Figure 4</w:t>
      </w:r>
      <w:r w:rsidR="00E85E4C">
        <w:rPr>
          <w:b/>
        </w:rPr>
        <w:t>.</w:t>
      </w:r>
      <w:r w:rsidR="00E85E4C">
        <w:t xml:space="preserve"> Example of TTL sampling strategy used for the ATTREX flights.  Top: time series of height and temperature showing numerous vertical profiles.  Bottom left: flight path.  </w:t>
      </w:r>
      <w:proofErr w:type="gramStart"/>
      <w:r w:rsidR="00E85E4C">
        <w:t>Bottom right; Vertical profiles of temperature and water vapor from an ascent just south of the equator.</w:t>
      </w:r>
      <w:proofErr w:type="gramEnd"/>
      <w:r w:rsidR="00E85E4C">
        <w:t xml:space="preserve">  Blue circles on all plots indicate the times/locations of GWAS samples.</w:t>
      </w:r>
    </w:p>
    <w:p w14:paraId="72DFE4DF" w14:textId="6D8BEC5A" w:rsidR="00FE6B10" w:rsidRDefault="000C5BCE" w:rsidP="00DB1EA7">
      <w:pPr>
        <w:widowControl w:val="0"/>
        <w:autoSpaceDE w:val="0"/>
        <w:autoSpaceDN w:val="0"/>
        <w:adjustRightInd w:val="0"/>
        <w:spacing w:after="240"/>
        <w:rPr>
          <w:color w:val="0000FF"/>
          <w:lang w:eastAsia="ja-JP"/>
        </w:rPr>
      </w:pPr>
      <w:r w:rsidRPr="00C14177">
        <w:rPr>
          <w:b/>
          <w:color w:val="0000FF"/>
          <w:lang w:eastAsia="ja-JP"/>
        </w:rPr>
        <w:t>[Figure: depiction of cold Jan temps with indicators of stratospheric warming, QBO, Kelvin-wave influences.]</w:t>
      </w:r>
    </w:p>
    <w:p w14:paraId="6229C940" w14:textId="73512BFF" w:rsidR="0025366C" w:rsidRDefault="0025366C" w:rsidP="00DB1EA7">
      <w:pPr>
        <w:widowControl w:val="0"/>
        <w:autoSpaceDE w:val="0"/>
        <w:autoSpaceDN w:val="0"/>
        <w:adjustRightInd w:val="0"/>
        <w:spacing w:after="240"/>
        <w:rPr>
          <w:rFonts w:eastAsia="Times New Roman"/>
        </w:rPr>
      </w:pPr>
      <w:r>
        <w:rPr>
          <w:color w:val="000000" w:themeColor="text1"/>
          <w:lang w:eastAsia="ja-JP"/>
        </w:rPr>
        <w:t xml:space="preserve">The tropical </w:t>
      </w:r>
      <w:proofErr w:type="spellStart"/>
      <w:r>
        <w:rPr>
          <w:color w:val="000000" w:themeColor="text1"/>
          <w:lang w:eastAsia="ja-JP"/>
        </w:rPr>
        <w:t>tropopause</w:t>
      </w:r>
      <w:proofErr w:type="spellEnd"/>
      <w:r>
        <w:rPr>
          <w:color w:val="000000" w:themeColor="text1"/>
          <w:lang w:eastAsia="ja-JP"/>
        </w:rPr>
        <w:t xml:space="preserve"> in January 2013 turned out to be anomalously cold</w:t>
      </w:r>
      <w:r w:rsidR="00E60907">
        <w:rPr>
          <w:color w:val="000000" w:themeColor="text1"/>
          <w:lang w:eastAsia="ja-JP"/>
        </w:rPr>
        <w:t xml:space="preserve"> (see Figure 5)</w:t>
      </w:r>
      <w:r>
        <w:rPr>
          <w:color w:val="000000" w:themeColor="text1"/>
          <w:lang w:eastAsia="ja-JP"/>
        </w:rPr>
        <w:t xml:space="preserve">. </w:t>
      </w:r>
      <w:r w:rsidR="00E60907">
        <w:rPr>
          <w:color w:val="0000FF"/>
          <w:lang w:eastAsia="ja-JP"/>
        </w:rPr>
        <w:t xml:space="preserve"> </w:t>
      </w:r>
      <w:r>
        <w:rPr>
          <w:color w:val="000000" w:themeColor="text1"/>
          <w:lang w:eastAsia="ja-JP"/>
        </w:rPr>
        <w:t xml:space="preserve">The tropical </w:t>
      </w:r>
      <w:proofErr w:type="spellStart"/>
      <w:r>
        <w:rPr>
          <w:color w:val="000000" w:themeColor="text1"/>
          <w:lang w:eastAsia="ja-JP"/>
        </w:rPr>
        <w:t>tropopause</w:t>
      </w:r>
      <w:proofErr w:type="spellEnd"/>
      <w:r>
        <w:rPr>
          <w:color w:val="000000" w:themeColor="text1"/>
          <w:lang w:eastAsia="ja-JP"/>
        </w:rPr>
        <w:t xml:space="preserve"> temperature was driven down</w:t>
      </w:r>
      <w:r w:rsidR="005A161C">
        <w:rPr>
          <w:color w:val="000000" w:themeColor="text1"/>
          <w:lang w:eastAsia="ja-JP"/>
        </w:rPr>
        <w:t>ward</w:t>
      </w:r>
      <w:r>
        <w:rPr>
          <w:color w:val="000000" w:themeColor="text1"/>
          <w:lang w:eastAsia="ja-JP"/>
        </w:rPr>
        <w:t xml:space="preserve"> by multiple effects, including a strong stratospheric </w:t>
      </w:r>
      <w:r w:rsidR="005A161C">
        <w:rPr>
          <w:color w:val="000000" w:themeColor="text1"/>
          <w:lang w:eastAsia="ja-JP"/>
        </w:rPr>
        <w:t xml:space="preserve">sudden </w:t>
      </w:r>
      <w:r>
        <w:rPr>
          <w:color w:val="000000" w:themeColor="text1"/>
          <w:lang w:eastAsia="ja-JP"/>
        </w:rPr>
        <w:t>warming</w:t>
      </w:r>
      <w:r w:rsidR="005A161C">
        <w:rPr>
          <w:color w:val="000000" w:themeColor="text1"/>
          <w:lang w:eastAsia="ja-JP"/>
        </w:rPr>
        <w:t xml:space="preserve"> (SSW), the quasi-b</w:t>
      </w:r>
      <w:r>
        <w:rPr>
          <w:color w:val="000000" w:themeColor="text1"/>
          <w:lang w:eastAsia="ja-JP"/>
        </w:rPr>
        <w:t>ienn</w:t>
      </w:r>
      <w:r w:rsidR="005A161C">
        <w:rPr>
          <w:color w:val="000000" w:themeColor="text1"/>
          <w:lang w:eastAsia="ja-JP"/>
        </w:rPr>
        <w:t>ial o</w:t>
      </w:r>
      <w:r>
        <w:rPr>
          <w:color w:val="000000" w:themeColor="text1"/>
          <w:lang w:eastAsia="ja-JP"/>
        </w:rPr>
        <w:t>scillation (QBO), and tropical Ke</w:t>
      </w:r>
      <w:r w:rsidR="00E60907">
        <w:rPr>
          <w:color w:val="000000" w:themeColor="text1"/>
          <w:lang w:eastAsia="ja-JP"/>
        </w:rPr>
        <w:t>lvin waves.  Figure 6</w:t>
      </w:r>
      <w:r w:rsidR="005A161C">
        <w:rPr>
          <w:color w:val="000000" w:themeColor="text1"/>
          <w:lang w:eastAsia="ja-JP"/>
        </w:rPr>
        <w:t xml:space="preserve"> depicts the SSW and QBO effects using MERRA analysis data from 20 December 2012 </w:t>
      </w:r>
      <w:r w:rsidR="00605B6D">
        <w:rPr>
          <w:color w:val="000000" w:themeColor="text1"/>
          <w:lang w:eastAsia="ja-JP"/>
        </w:rPr>
        <w:t>through</w:t>
      </w:r>
      <w:r w:rsidR="005A161C">
        <w:rPr>
          <w:color w:val="000000" w:themeColor="text1"/>
          <w:lang w:eastAsia="ja-JP"/>
        </w:rPr>
        <w:t xml:space="preserve"> 20 January 2013 (before and after the SSW).  A large planetary wave developed in the northern hemisphere and propagated vertically into the stratosphere (indicated by the gre</w:t>
      </w:r>
      <w:r w:rsidR="00E60907">
        <w:rPr>
          <w:color w:val="000000" w:themeColor="text1"/>
          <w:lang w:eastAsia="ja-JP"/>
        </w:rPr>
        <w:t>en lines in Figure 6</w:t>
      </w:r>
      <w:r w:rsidR="005A161C">
        <w:rPr>
          <w:color w:val="000000" w:themeColor="text1"/>
          <w:lang w:eastAsia="ja-JP"/>
        </w:rPr>
        <w:t xml:space="preserve">, which show the </w:t>
      </w:r>
      <w:proofErr w:type="spellStart"/>
      <w:r w:rsidR="005A161C">
        <w:rPr>
          <w:color w:val="000000" w:themeColor="text1"/>
          <w:lang w:eastAsia="ja-JP"/>
        </w:rPr>
        <w:t>Eliassen</w:t>
      </w:r>
      <w:proofErr w:type="spellEnd"/>
      <w:r w:rsidR="005A161C">
        <w:rPr>
          <w:color w:val="000000" w:themeColor="text1"/>
          <w:lang w:eastAsia="ja-JP"/>
        </w:rPr>
        <w:t xml:space="preserve">-Palm flux vectors).  </w:t>
      </w:r>
      <w:r w:rsidR="005A161C">
        <w:rPr>
          <w:rFonts w:eastAsia="Times New Roman"/>
        </w:rPr>
        <w:t>The planetary scale wave deposited easterly momentum in the middle stratosphere. This wave momentum deposition then caused "</w:t>
      </w:r>
      <w:proofErr w:type="spellStart"/>
      <w:r w:rsidR="005A161C">
        <w:rPr>
          <w:rFonts w:eastAsia="Times New Roman"/>
        </w:rPr>
        <w:t>poleward</w:t>
      </w:r>
      <w:proofErr w:type="spellEnd"/>
      <w:r w:rsidR="005A161C">
        <w:rPr>
          <w:rFonts w:eastAsia="Times New Roman"/>
        </w:rPr>
        <w:t>" motion in the middle stratosphere</w:t>
      </w:r>
      <w:r w:rsidR="00E60907">
        <w:rPr>
          <w:rFonts w:eastAsia="Times New Roman"/>
        </w:rPr>
        <w:t xml:space="preserve"> (B in Figure 6</w:t>
      </w:r>
      <w:r w:rsidR="007D5763">
        <w:rPr>
          <w:rFonts w:eastAsia="Times New Roman"/>
        </w:rPr>
        <w:t>)</w:t>
      </w:r>
      <w:r w:rsidR="005A161C">
        <w:rPr>
          <w:rFonts w:eastAsia="Times New Roman"/>
        </w:rPr>
        <w:t xml:space="preserve">. The </w:t>
      </w:r>
      <w:proofErr w:type="spellStart"/>
      <w:r w:rsidR="005A161C">
        <w:rPr>
          <w:rFonts w:eastAsia="Times New Roman"/>
        </w:rPr>
        <w:t>poleward</w:t>
      </w:r>
      <w:proofErr w:type="spellEnd"/>
      <w:r w:rsidR="005A161C">
        <w:rPr>
          <w:rFonts w:eastAsia="Times New Roman"/>
        </w:rPr>
        <w:t xml:space="preserve"> motion resulted in sinking in the polar region that rapidly warmed the </w:t>
      </w:r>
      <w:r w:rsidR="00E60907">
        <w:rPr>
          <w:rFonts w:eastAsia="Times New Roman"/>
        </w:rPr>
        <w:t xml:space="preserve">stratosphere </w:t>
      </w:r>
      <w:proofErr w:type="spellStart"/>
      <w:r w:rsidR="00E60907">
        <w:rPr>
          <w:rFonts w:eastAsia="Times New Roman"/>
        </w:rPr>
        <w:t>poleward</w:t>
      </w:r>
      <w:proofErr w:type="spellEnd"/>
      <w:r w:rsidR="00E60907">
        <w:rPr>
          <w:rFonts w:eastAsia="Times New Roman"/>
        </w:rPr>
        <w:t xml:space="preserve"> of about 45 N</w:t>
      </w:r>
      <w:r w:rsidR="005A161C">
        <w:rPr>
          <w:rFonts w:eastAsia="Times New Roman"/>
        </w:rPr>
        <w:t xml:space="preserve"> (hence the expression “stratospheric sudden warming”). </w:t>
      </w:r>
      <w:r w:rsidR="007D5763">
        <w:rPr>
          <w:rFonts w:eastAsia="Times New Roman"/>
        </w:rPr>
        <w:t xml:space="preserve"> </w:t>
      </w:r>
      <w:r w:rsidR="005A161C">
        <w:rPr>
          <w:rFonts w:eastAsia="Times New Roman"/>
        </w:rPr>
        <w:t>The </w:t>
      </w:r>
      <w:proofErr w:type="spellStart"/>
      <w:r w:rsidR="005A161C">
        <w:rPr>
          <w:rFonts w:eastAsia="Times New Roman"/>
        </w:rPr>
        <w:t>poleward</w:t>
      </w:r>
      <w:proofErr w:type="spellEnd"/>
      <w:r w:rsidR="005A161C">
        <w:rPr>
          <w:rFonts w:eastAsia="Times New Roman"/>
        </w:rPr>
        <w:t xml:space="preserve"> motion (at B</w:t>
      </w:r>
      <w:r w:rsidR="00E60907">
        <w:rPr>
          <w:rFonts w:eastAsia="Times New Roman"/>
        </w:rPr>
        <w:t xml:space="preserve"> in Figure 6</w:t>
      </w:r>
      <w:r w:rsidR="005A161C">
        <w:rPr>
          <w:rFonts w:eastAsia="Times New Roman"/>
        </w:rPr>
        <w:t xml:space="preserve">) causes a tropical ascent (at C) for balancing the polar descent. This tropical rising motion (C) leads to a </w:t>
      </w:r>
      <w:r w:rsidR="007D5763">
        <w:rPr>
          <w:rFonts w:eastAsia="Times New Roman"/>
        </w:rPr>
        <w:t>~</w:t>
      </w:r>
      <w:r w:rsidR="005A161C">
        <w:rPr>
          <w:rFonts w:eastAsia="Times New Roman"/>
        </w:rPr>
        <w:t>2</w:t>
      </w:r>
      <w:r w:rsidR="007D5763">
        <w:rPr>
          <w:rFonts w:eastAsia="Times New Roman"/>
        </w:rPr>
        <w:t xml:space="preserve"> </w:t>
      </w:r>
      <w:r w:rsidR="005A161C">
        <w:rPr>
          <w:rFonts w:eastAsia="Times New Roman"/>
        </w:rPr>
        <w:t>K cooling just above the tropical </w:t>
      </w:r>
      <w:proofErr w:type="spellStart"/>
      <w:r w:rsidR="005A161C">
        <w:rPr>
          <w:rFonts w:eastAsia="Times New Roman"/>
        </w:rPr>
        <w:t>tropopause</w:t>
      </w:r>
      <w:proofErr w:type="spellEnd"/>
      <w:r w:rsidR="005A161C">
        <w:rPr>
          <w:rFonts w:eastAsia="Times New Roman"/>
        </w:rPr>
        <w:t>.</w:t>
      </w:r>
      <w:r w:rsidR="007D5763">
        <w:rPr>
          <w:rFonts w:eastAsia="Times New Roman"/>
        </w:rPr>
        <w:t xml:space="preserve">  The QBO is a cyclic variation of tropical winds that has a period of approximately 2-years.  The middle-to-lower stratospheric wind field seesaws between eastward and westward flow.  In January-February 2013, the QBO was in its easterly phase (westward b</w:t>
      </w:r>
      <w:bookmarkStart w:id="0" w:name="_GoBack"/>
      <w:bookmarkEnd w:id="0"/>
      <w:r w:rsidR="007D5763">
        <w:rPr>
          <w:rFonts w:eastAsia="Times New Roman"/>
        </w:rPr>
        <w:t>lowing winds</w:t>
      </w:r>
      <w:r w:rsidR="00E60907">
        <w:rPr>
          <w:rFonts w:eastAsia="Times New Roman"/>
        </w:rPr>
        <w:t>)</w:t>
      </w:r>
      <w:r w:rsidR="007D5763">
        <w:rPr>
          <w:rFonts w:eastAsia="Times New Roman"/>
        </w:rPr>
        <w:t>, which also induced an effect on temperature, causing approximately a 1-2 K colder temperature (thick blue) at the altitudes below the QBO wind minimum (thick orange).</w:t>
      </w:r>
    </w:p>
    <w:p w14:paraId="0AAAC11B" w14:textId="5F5468D1" w:rsidR="00F11436" w:rsidRPr="0025366C" w:rsidRDefault="00F11436" w:rsidP="00DB1EA7">
      <w:pPr>
        <w:widowControl w:val="0"/>
        <w:autoSpaceDE w:val="0"/>
        <w:autoSpaceDN w:val="0"/>
        <w:adjustRightInd w:val="0"/>
        <w:spacing w:after="240"/>
        <w:rPr>
          <w:color w:val="000000" w:themeColor="text1"/>
          <w:lang w:eastAsia="ja-JP"/>
        </w:rPr>
      </w:pPr>
      <w:r>
        <w:rPr>
          <w:noProof/>
          <w:color w:val="000000" w:themeColor="text1"/>
        </w:rPr>
        <w:drawing>
          <wp:inline distT="0" distB="0" distL="0" distR="0" wp14:anchorId="4445F198" wp14:editId="0CE3088D">
            <wp:extent cx="5486400" cy="30473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CPTANOMA_062002_022013.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047365"/>
                    </a:xfrm>
                    <a:prstGeom prst="rect">
                      <a:avLst/>
                    </a:prstGeom>
                  </pic:spPr>
                </pic:pic>
              </a:graphicData>
            </a:graphic>
          </wp:inline>
        </w:drawing>
      </w:r>
    </w:p>
    <w:p w14:paraId="7CCBC802" w14:textId="729072AD" w:rsidR="00F11436" w:rsidRPr="00F11436" w:rsidRDefault="00F11436" w:rsidP="00DB1EA7">
      <w:pPr>
        <w:widowControl w:val="0"/>
        <w:autoSpaceDE w:val="0"/>
        <w:autoSpaceDN w:val="0"/>
        <w:adjustRightInd w:val="0"/>
        <w:spacing w:after="240"/>
        <w:rPr>
          <w:rFonts w:eastAsia="Times New Roman"/>
        </w:rPr>
      </w:pPr>
      <w:r>
        <w:rPr>
          <w:rFonts w:eastAsia="Times New Roman"/>
          <w:b/>
        </w:rPr>
        <w:t xml:space="preserve">Figure 5.  </w:t>
      </w:r>
      <w:r>
        <w:rPr>
          <w:rFonts w:eastAsia="Times New Roman"/>
        </w:rPr>
        <w:t xml:space="preserve">Anomalies of </w:t>
      </w:r>
      <w:proofErr w:type="gramStart"/>
      <w:r>
        <w:rPr>
          <w:rFonts w:eastAsia="Times New Roman"/>
        </w:rPr>
        <w:t>monthly-mean</w:t>
      </w:r>
      <w:proofErr w:type="gramEnd"/>
      <w:r>
        <w:rPr>
          <w:rFonts w:eastAsia="Times New Roman"/>
        </w:rPr>
        <w:t xml:space="preserve"> zonal</w:t>
      </w:r>
      <w:r w:rsidR="00E60907">
        <w:rPr>
          <w:rFonts w:eastAsia="Times New Roman"/>
        </w:rPr>
        <w:t xml:space="preserve"> average (15 S – 15 N) </w:t>
      </w:r>
      <w:proofErr w:type="spellStart"/>
      <w:r w:rsidR="00E60907">
        <w:rPr>
          <w:rFonts w:eastAsia="Times New Roman"/>
        </w:rPr>
        <w:t>tropopause</w:t>
      </w:r>
      <w:proofErr w:type="spellEnd"/>
      <w:r w:rsidR="00E60907">
        <w:rPr>
          <w:rFonts w:eastAsia="Times New Roman"/>
        </w:rPr>
        <w:t xml:space="preserve"> temperature from GPM measurements.</w:t>
      </w:r>
    </w:p>
    <w:p w14:paraId="2CD82455" w14:textId="4D6507F3" w:rsidR="0025366C" w:rsidRPr="0025366C" w:rsidRDefault="0025366C" w:rsidP="00DB1EA7">
      <w:pPr>
        <w:widowControl w:val="0"/>
        <w:autoSpaceDE w:val="0"/>
        <w:autoSpaceDN w:val="0"/>
        <w:adjustRightInd w:val="0"/>
        <w:spacing w:after="240"/>
        <w:rPr>
          <w:rFonts w:eastAsia="Times New Roman"/>
        </w:rPr>
      </w:pPr>
      <w:r>
        <w:rPr>
          <w:rFonts w:eastAsia="Times New Roman"/>
          <w:noProof/>
        </w:rPr>
        <w:drawing>
          <wp:inline distT="0" distB="0" distL="0" distR="0" wp14:anchorId="30E1DFAB" wp14:editId="2E9BE364">
            <wp:extent cx="5486400" cy="3996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flux_201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996055"/>
                    </a:xfrm>
                    <a:prstGeom prst="rect">
                      <a:avLst/>
                    </a:prstGeom>
                  </pic:spPr>
                </pic:pic>
              </a:graphicData>
            </a:graphic>
          </wp:inline>
        </w:drawing>
      </w:r>
      <w:r>
        <w:rPr>
          <w:rFonts w:eastAsia="Times New Roman"/>
          <w:b/>
        </w:rPr>
        <w:t xml:space="preserve"> </w:t>
      </w:r>
      <w:r w:rsidR="00E60907">
        <w:rPr>
          <w:rFonts w:eastAsia="Times New Roman"/>
          <w:b/>
        </w:rPr>
        <w:t>Figure 6</w:t>
      </w:r>
      <w:r>
        <w:rPr>
          <w:rFonts w:eastAsia="Times New Roman"/>
          <w:b/>
        </w:rPr>
        <w:t>.</w:t>
      </w:r>
      <w:r>
        <w:rPr>
          <w:rFonts w:eastAsia="Times New Roman"/>
        </w:rPr>
        <w:t xml:space="preserve"> The blue/red color scale and magenta contours show the zonal mean temperature change (blue/red color scale, magenta contours) between 20 Dec. 2012 and 20 Jan. 2013.  The black streamlines show the time averaged residual circulation (20 Dec. 2012 to 20 Jan. 2013).  The green lines show the average </w:t>
      </w:r>
      <w:proofErr w:type="spellStart"/>
      <w:r>
        <w:rPr>
          <w:rFonts w:eastAsia="Times New Roman"/>
        </w:rPr>
        <w:t>Eliassen</w:t>
      </w:r>
      <w:proofErr w:type="spellEnd"/>
      <w:r>
        <w:rPr>
          <w:rFonts w:eastAsia="Times New Roman"/>
        </w:rPr>
        <w:t xml:space="preserve">- Palm flux vectors, and the thick grey line shows the average </w:t>
      </w:r>
      <w:proofErr w:type="spellStart"/>
      <w:r>
        <w:rPr>
          <w:rFonts w:eastAsia="Times New Roman"/>
        </w:rPr>
        <w:t>tropopause</w:t>
      </w:r>
      <w:proofErr w:type="spellEnd"/>
      <w:r>
        <w:rPr>
          <w:rFonts w:eastAsia="Times New Roman"/>
        </w:rPr>
        <w:t> (20 Dec. 2012 to 20 Jan. 2013).  The thick orange line shows the 21-31 January 2013 5 m/s zonal wind contour, and the thick blue line shows the 21-31 January 2013 2 K zonal temperature contour after subtracting the 1979-2012 climatology.  See text for discussion.</w:t>
      </w:r>
    </w:p>
    <w:p w14:paraId="7AF6A731" w14:textId="77777777" w:rsidR="0025366C" w:rsidRDefault="0025366C" w:rsidP="00DB1EA7">
      <w:pPr>
        <w:widowControl w:val="0"/>
        <w:autoSpaceDE w:val="0"/>
        <w:autoSpaceDN w:val="0"/>
        <w:adjustRightInd w:val="0"/>
        <w:spacing w:after="240"/>
      </w:pPr>
    </w:p>
    <w:p w14:paraId="125C321B" w14:textId="60195D3B" w:rsidR="00FE6B10" w:rsidRPr="00FF753C" w:rsidRDefault="00FE6B10" w:rsidP="00DB1EA7">
      <w:pPr>
        <w:widowControl w:val="0"/>
        <w:autoSpaceDE w:val="0"/>
        <w:autoSpaceDN w:val="0"/>
        <w:adjustRightInd w:val="0"/>
        <w:spacing w:after="240"/>
        <w:rPr>
          <w:color w:val="000000" w:themeColor="text1"/>
          <w:lang w:eastAsia="ja-JP"/>
        </w:rPr>
      </w:pPr>
      <w:r>
        <w:t xml:space="preserve">Dry air in the </w:t>
      </w:r>
      <w:proofErr w:type="spellStart"/>
      <w:r>
        <w:t>tropopause</w:t>
      </w:r>
      <w:proofErr w:type="spellEnd"/>
      <w:r>
        <w:t xml:space="preserve"> region associated with the anomalously cold January 2013 tropical </w:t>
      </w:r>
      <w:proofErr w:type="spellStart"/>
      <w:r>
        <w:t>tropopause</w:t>
      </w:r>
      <w:proofErr w:type="spellEnd"/>
      <w:r>
        <w:t xml:space="preserve"> was sampled on multiple ATTREX flights, with water vapor concentrations indicated by both the NOAA and DLH hygrometers as low as about 1.5 </w:t>
      </w:r>
      <w:proofErr w:type="spellStart"/>
      <w:r>
        <w:t>ppmv</w:t>
      </w:r>
      <w:proofErr w:type="spellEnd"/>
      <w:r>
        <w:t>.</w:t>
      </w:r>
      <w:r w:rsidR="000C5BCE">
        <w:t xml:space="preserve"> </w:t>
      </w:r>
      <w:r w:rsidR="006D0252">
        <w:rPr>
          <w:color w:val="0000FF"/>
        </w:rPr>
        <w:t xml:space="preserve"> </w:t>
      </w:r>
      <w:r w:rsidR="00FF753C">
        <w:rPr>
          <w:color w:val="000000" w:themeColor="text1"/>
        </w:rPr>
        <w:t xml:space="preserve">As with past high-altitude aircraft tropical campaigns, </w:t>
      </w:r>
      <w:r w:rsidR="006D0252">
        <w:rPr>
          <w:color w:val="000000" w:themeColor="text1"/>
        </w:rPr>
        <w:t xml:space="preserve">in situ TTL cirrus </w:t>
      </w:r>
      <w:r w:rsidR="00C14177">
        <w:rPr>
          <w:color w:val="000000" w:themeColor="text1"/>
        </w:rPr>
        <w:t>was</w:t>
      </w:r>
      <w:r w:rsidR="006D0252">
        <w:rPr>
          <w:color w:val="000000" w:themeColor="text1"/>
        </w:rPr>
        <w:t xml:space="preserve"> generally encountered when the aircraft was directed into cold tropical </w:t>
      </w:r>
      <w:proofErr w:type="spellStart"/>
      <w:r w:rsidR="006D0252">
        <w:rPr>
          <w:color w:val="000000" w:themeColor="text1"/>
        </w:rPr>
        <w:t>tropopause</w:t>
      </w:r>
      <w:proofErr w:type="spellEnd"/>
      <w:r w:rsidR="006D0252">
        <w:rPr>
          <w:color w:val="000000" w:themeColor="text1"/>
        </w:rPr>
        <w:t xml:space="preserve"> regions</w:t>
      </w:r>
      <w:r w:rsidR="00FF753C">
        <w:rPr>
          <w:color w:val="000000" w:themeColor="text1"/>
        </w:rPr>
        <w:t xml:space="preserve">.  The last flight in 2013 (RF06) provided extensive TTL cirrus sampling in an eastern Pacific </w:t>
      </w:r>
      <w:proofErr w:type="spellStart"/>
      <w:r w:rsidR="00FF753C">
        <w:rPr>
          <w:color w:val="000000" w:themeColor="text1"/>
        </w:rPr>
        <w:t>tropopause</w:t>
      </w:r>
      <w:proofErr w:type="spellEnd"/>
      <w:r w:rsidR="00FF753C">
        <w:rPr>
          <w:color w:val="000000" w:themeColor="text1"/>
        </w:rPr>
        <w:t xml:space="preserve"> cold pool with minimum tem</w:t>
      </w:r>
      <w:r w:rsidR="00627453">
        <w:rPr>
          <w:color w:val="000000" w:themeColor="text1"/>
        </w:rPr>
        <w:t>peratures b</w:t>
      </w:r>
      <w:r w:rsidR="00E60907">
        <w:rPr>
          <w:color w:val="000000" w:themeColor="text1"/>
        </w:rPr>
        <w:t>elow 185 K.  Figure 7</w:t>
      </w:r>
      <w:r w:rsidR="00FF753C">
        <w:rPr>
          <w:color w:val="000000" w:themeColor="text1"/>
        </w:rPr>
        <w:t xml:space="preserve"> shows temperature, water vapor, relative humidity, and cirrus ice concentration measurements from an ascent through cirrus layer at the </w:t>
      </w:r>
      <w:proofErr w:type="spellStart"/>
      <w:r w:rsidR="00FF753C">
        <w:rPr>
          <w:color w:val="000000" w:themeColor="text1"/>
        </w:rPr>
        <w:t>tropopause</w:t>
      </w:r>
      <w:proofErr w:type="spellEnd"/>
      <w:r w:rsidR="00FF753C">
        <w:rPr>
          <w:color w:val="000000" w:themeColor="text1"/>
        </w:rPr>
        <w:t>.</w:t>
      </w:r>
      <w:r w:rsidR="000A0A47">
        <w:rPr>
          <w:color w:val="000000" w:themeColor="text1"/>
        </w:rPr>
        <w:t xml:space="preserve">  Within the cloud layer between 17.5 and 17.6 km where the ice concentration is several hundred per liter, the relative humidity is 100% (within the 15% combined water vapor and temperature uncertainty), and the water vapor is depleted down to about</w:t>
      </w:r>
      <w:r w:rsidR="00655C1A">
        <w:rPr>
          <w:color w:val="000000" w:themeColor="text1"/>
        </w:rPr>
        <w:t xml:space="preserve"> 1.8 </w:t>
      </w:r>
      <w:proofErr w:type="spellStart"/>
      <w:r w:rsidR="00655C1A">
        <w:rPr>
          <w:color w:val="000000" w:themeColor="text1"/>
        </w:rPr>
        <w:t>ppmv</w:t>
      </w:r>
      <w:proofErr w:type="spellEnd"/>
      <w:r w:rsidR="00655C1A">
        <w:rPr>
          <w:color w:val="000000" w:themeColor="text1"/>
        </w:rPr>
        <w:t xml:space="preserve">.  This case is </w:t>
      </w:r>
      <w:r w:rsidR="00C14177">
        <w:rPr>
          <w:color w:val="000000" w:themeColor="text1"/>
        </w:rPr>
        <w:t>consistent with the cloud and water vapor measurements from the 2011 flight series</w:t>
      </w:r>
      <w:r w:rsidR="006735D9">
        <w:rPr>
          <w:color w:val="000000" w:themeColor="text1"/>
        </w:rPr>
        <w:t>.</w:t>
      </w:r>
    </w:p>
    <w:p w14:paraId="628CB62B" w14:textId="5FE79A34" w:rsidR="00C55153" w:rsidRDefault="00C55153" w:rsidP="00DB1EA7">
      <w:pPr>
        <w:widowControl w:val="0"/>
        <w:autoSpaceDE w:val="0"/>
        <w:autoSpaceDN w:val="0"/>
        <w:adjustRightInd w:val="0"/>
        <w:spacing w:after="240"/>
        <w:rPr>
          <w:b/>
          <w:lang w:eastAsia="ja-JP"/>
        </w:rPr>
      </w:pPr>
      <w:r>
        <w:rPr>
          <w:b/>
          <w:noProof/>
        </w:rPr>
        <w:drawing>
          <wp:inline distT="0" distB="0" distL="0" distR="0" wp14:anchorId="53139F6C" wp14:editId="42069CC6">
            <wp:extent cx="5486400" cy="5908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oprof_rf06.eps"/>
                    <pic:cNvPicPr/>
                  </pic:nvPicPr>
                  <pic:blipFill>
                    <a:blip r:embed="rId11">
                      <a:extLst>
                        <a:ext uri="{28A0092B-C50C-407E-A947-70E740481C1C}">
                          <a14:useLocalDpi xmlns:a14="http://schemas.microsoft.com/office/drawing/2010/main" val="0"/>
                        </a:ext>
                      </a:extLst>
                    </a:blip>
                    <a:stretch>
                      <a:fillRect/>
                    </a:stretch>
                  </pic:blipFill>
                  <pic:spPr>
                    <a:xfrm>
                      <a:off x="0" y="0"/>
                      <a:ext cx="5486400" cy="5908675"/>
                    </a:xfrm>
                    <a:prstGeom prst="rect">
                      <a:avLst/>
                    </a:prstGeom>
                  </pic:spPr>
                </pic:pic>
              </a:graphicData>
            </a:graphic>
          </wp:inline>
        </w:drawing>
      </w:r>
    </w:p>
    <w:p w14:paraId="12B9312C" w14:textId="3EFC111F" w:rsidR="00C55153" w:rsidRPr="00C55153" w:rsidRDefault="00E60907" w:rsidP="00DB1EA7">
      <w:pPr>
        <w:widowControl w:val="0"/>
        <w:autoSpaceDE w:val="0"/>
        <w:autoSpaceDN w:val="0"/>
        <w:adjustRightInd w:val="0"/>
        <w:spacing w:after="240"/>
        <w:rPr>
          <w:lang w:eastAsia="ja-JP"/>
        </w:rPr>
      </w:pPr>
      <w:r>
        <w:rPr>
          <w:b/>
          <w:lang w:eastAsia="ja-JP"/>
        </w:rPr>
        <w:t>Figure 7</w:t>
      </w:r>
      <w:r w:rsidR="00C55153">
        <w:rPr>
          <w:b/>
          <w:lang w:eastAsia="ja-JP"/>
        </w:rPr>
        <w:t>.</w:t>
      </w:r>
      <w:r w:rsidR="00C55153">
        <w:rPr>
          <w:lang w:eastAsia="ja-JP"/>
        </w:rPr>
        <w:t xml:space="preserve"> Vertical profile of temperature (black), water vapor (green), relative humidity with respect to ice (blue) and FCDP ice concentration (red dots).  The data shown here is preliminary and may well change with further analysis.  Within the high ice concentration layer between about 17.5 and 17.6 km, both the DLH and NOAA water vapor instruments indicate relative humidity</w:t>
      </w:r>
      <w:r w:rsidR="00707B32">
        <w:rPr>
          <w:lang w:eastAsia="ja-JP"/>
        </w:rPr>
        <w:t xml:space="preserve"> of about 100%, as expected.  Above and below this layer, substantial ice </w:t>
      </w:r>
      <w:proofErr w:type="spellStart"/>
      <w:r w:rsidR="00707B32">
        <w:rPr>
          <w:lang w:eastAsia="ja-JP"/>
        </w:rPr>
        <w:t>supersaturation</w:t>
      </w:r>
      <w:proofErr w:type="spellEnd"/>
      <w:r w:rsidR="00707B32">
        <w:rPr>
          <w:lang w:eastAsia="ja-JP"/>
        </w:rPr>
        <w:t xml:space="preserve"> is present, and the two water vapor measurements differ by a few tenths of a </w:t>
      </w:r>
      <w:proofErr w:type="spellStart"/>
      <w:r w:rsidR="00707B32">
        <w:rPr>
          <w:lang w:eastAsia="ja-JP"/>
        </w:rPr>
        <w:t>ppmv</w:t>
      </w:r>
      <w:proofErr w:type="spellEnd"/>
      <w:r w:rsidR="00707B32">
        <w:rPr>
          <w:lang w:eastAsia="ja-JP"/>
        </w:rPr>
        <w:t>.</w:t>
      </w:r>
    </w:p>
    <w:p w14:paraId="65A02545" w14:textId="45828A32" w:rsidR="00C55153" w:rsidRPr="000C5BCE" w:rsidRDefault="000C5BCE" w:rsidP="00DB1EA7">
      <w:pPr>
        <w:widowControl w:val="0"/>
        <w:autoSpaceDE w:val="0"/>
        <w:autoSpaceDN w:val="0"/>
        <w:adjustRightInd w:val="0"/>
        <w:spacing w:after="240"/>
        <w:rPr>
          <w:lang w:eastAsia="ja-JP"/>
        </w:rPr>
      </w:pPr>
      <w:r>
        <w:rPr>
          <w:lang w:eastAsia="ja-JP"/>
        </w:rPr>
        <w:t>Two flights (RF03 and RF05) extended as far into the western Pacific cold pool</w:t>
      </w:r>
      <w:r w:rsidR="00A8472D">
        <w:rPr>
          <w:lang w:eastAsia="ja-JP"/>
        </w:rPr>
        <w:t xml:space="preserve"> as possible given the GH range.  These flights nearly reached</w:t>
      </w:r>
      <w:r>
        <w:rPr>
          <w:lang w:eastAsia="ja-JP"/>
        </w:rPr>
        <w:t xml:space="preserve"> the international dateline</w:t>
      </w:r>
      <w:r w:rsidR="00A8472D">
        <w:rPr>
          <w:lang w:eastAsia="ja-JP"/>
        </w:rPr>
        <w:t xml:space="preserve"> (180 E)</w:t>
      </w:r>
      <w:r>
        <w:rPr>
          <w:lang w:eastAsia="ja-JP"/>
        </w:rPr>
        <w:t>.  Previous measurements have shown that flow around the western Pacific anticyclone that brings air south into the cold tropical region in the vicinity of Hawaii can drive in situ TTL cirrus formation (</w:t>
      </w:r>
      <w:proofErr w:type="spellStart"/>
      <w:r w:rsidRPr="00A8472D">
        <w:rPr>
          <w:lang w:eastAsia="ja-JP"/>
        </w:rPr>
        <w:t>Pfister</w:t>
      </w:r>
      <w:proofErr w:type="spellEnd"/>
      <w:r>
        <w:rPr>
          <w:i/>
          <w:lang w:eastAsia="ja-JP"/>
        </w:rPr>
        <w:t xml:space="preserve"> et al.,</w:t>
      </w:r>
      <w:r>
        <w:rPr>
          <w:lang w:eastAsia="ja-JP"/>
        </w:rPr>
        <w:t xml:space="preserve"> </w:t>
      </w:r>
      <w:r w:rsidR="00A8472D">
        <w:rPr>
          <w:lang w:eastAsia="ja-JP"/>
        </w:rPr>
        <w:t>2001</w:t>
      </w:r>
      <w:r>
        <w:rPr>
          <w:lang w:eastAsia="ja-JP"/>
        </w:rPr>
        <w:t>).  RF05 provided a case study of cirrus driven by</w:t>
      </w:r>
      <w:r w:rsidR="00627453">
        <w:rPr>
          <w:lang w:eastAsia="ja-JP"/>
        </w:rPr>
        <w:t xml:space="preserve"> this</w:t>
      </w:r>
      <w:r w:rsidR="00E60907">
        <w:rPr>
          <w:lang w:eastAsia="ja-JP"/>
        </w:rPr>
        <w:t xml:space="preserve"> flow pattern (see Figure 8</w:t>
      </w:r>
      <w:r>
        <w:rPr>
          <w:lang w:eastAsia="ja-JP"/>
        </w:rPr>
        <w:t xml:space="preserve">).  </w:t>
      </w:r>
      <w:r w:rsidR="00504F2E">
        <w:rPr>
          <w:lang w:eastAsia="ja-JP"/>
        </w:rPr>
        <w:t xml:space="preserve">As the GH approached the cold </w:t>
      </w:r>
      <w:proofErr w:type="spellStart"/>
      <w:r w:rsidR="00504F2E">
        <w:rPr>
          <w:lang w:eastAsia="ja-JP"/>
        </w:rPr>
        <w:t>tropopause</w:t>
      </w:r>
      <w:proofErr w:type="spellEnd"/>
      <w:r w:rsidR="00504F2E">
        <w:rPr>
          <w:lang w:eastAsia="ja-JP"/>
        </w:rPr>
        <w:t xml:space="preserve"> region at the western end of the flight track, a layer between about 16 and 17.5 km was encountered with low ozone (~25−40 </w:t>
      </w:r>
      <w:proofErr w:type="spellStart"/>
      <w:r w:rsidR="00504F2E">
        <w:rPr>
          <w:lang w:eastAsia="ja-JP"/>
        </w:rPr>
        <w:t>ppbv</w:t>
      </w:r>
      <w:proofErr w:type="spellEnd"/>
      <w:r w:rsidR="00504F2E">
        <w:rPr>
          <w:lang w:eastAsia="ja-JP"/>
        </w:rPr>
        <w:t xml:space="preserve">) and a cloud with </w:t>
      </w:r>
      <w:r w:rsidR="00E92077">
        <w:rPr>
          <w:lang w:eastAsia="ja-JP"/>
        </w:rPr>
        <w:t>rel</w:t>
      </w:r>
      <w:r w:rsidR="00A8472D">
        <w:rPr>
          <w:lang w:eastAsia="ja-JP"/>
        </w:rPr>
        <w:t xml:space="preserve">atively high ice water content.  The NOAA total water measurement indicated </w:t>
      </w:r>
      <w:r w:rsidR="00E92077">
        <w:rPr>
          <w:lang w:eastAsia="ja-JP"/>
        </w:rPr>
        <w:t xml:space="preserve">up to ~20 </w:t>
      </w:r>
      <w:proofErr w:type="spellStart"/>
      <w:r w:rsidR="00E92077">
        <w:rPr>
          <w:lang w:eastAsia="ja-JP"/>
        </w:rPr>
        <w:t>ppmv</w:t>
      </w:r>
      <w:proofErr w:type="spellEnd"/>
      <w:r w:rsidR="00E92077">
        <w:rPr>
          <w:lang w:eastAsia="ja-JP"/>
        </w:rPr>
        <w:t xml:space="preserve"> condensed mass</w:t>
      </w:r>
      <w:r w:rsidR="00A8472D">
        <w:rPr>
          <w:lang w:eastAsia="ja-JP"/>
        </w:rPr>
        <w:t>, which</w:t>
      </w:r>
      <w:r w:rsidR="00E92077">
        <w:rPr>
          <w:lang w:eastAsia="ja-JP"/>
        </w:rPr>
        <w:t xml:space="preserve"> </w:t>
      </w:r>
      <w:r w:rsidR="00A8472D">
        <w:rPr>
          <w:lang w:eastAsia="ja-JP"/>
        </w:rPr>
        <w:t>is considerably higher than the background water vapor concentration</w:t>
      </w:r>
      <w:r w:rsidR="00E92077">
        <w:rPr>
          <w:lang w:eastAsia="ja-JP"/>
        </w:rPr>
        <w:t>.  No convection in the immediate vicinity of the flight track was present with cloud tops above about 15 km; however, the low ozone and considerable condensed mass suggest recent convective detrainment nea</w:t>
      </w:r>
      <w:r w:rsidR="006A7715">
        <w:rPr>
          <w:lang w:eastAsia="ja-JP"/>
        </w:rPr>
        <w:t xml:space="preserve">r the </w:t>
      </w:r>
      <w:proofErr w:type="spellStart"/>
      <w:r w:rsidR="006A7715">
        <w:rPr>
          <w:lang w:eastAsia="ja-JP"/>
        </w:rPr>
        <w:t>tropopause</w:t>
      </w:r>
      <w:proofErr w:type="spellEnd"/>
      <w:r w:rsidR="006A7715">
        <w:rPr>
          <w:lang w:eastAsia="ja-JP"/>
        </w:rPr>
        <w:t>.  We hypothesize</w:t>
      </w:r>
      <w:r w:rsidR="00E92077">
        <w:rPr>
          <w:lang w:eastAsia="ja-JP"/>
        </w:rPr>
        <w:t xml:space="preserve"> that convective transport of moist, low ozone </w:t>
      </w:r>
      <w:r w:rsidR="00612003">
        <w:rPr>
          <w:lang w:eastAsia="ja-JP"/>
        </w:rPr>
        <w:t xml:space="preserve">air to the </w:t>
      </w:r>
      <w:proofErr w:type="spellStart"/>
      <w:r w:rsidR="00612003">
        <w:rPr>
          <w:lang w:eastAsia="ja-JP"/>
        </w:rPr>
        <w:t>tropopause</w:t>
      </w:r>
      <w:proofErr w:type="spellEnd"/>
      <w:r w:rsidR="00E92077">
        <w:rPr>
          <w:lang w:eastAsia="ja-JP"/>
        </w:rPr>
        <w:t xml:space="preserve"> must have occurred upstream </w:t>
      </w:r>
      <w:r w:rsidR="00A8472D">
        <w:rPr>
          <w:lang w:eastAsia="ja-JP"/>
        </w:rPr>
        <w:t xml:space="preserve">of the observed cloud </w:t>
      </w:r>
      <w:r w:rsidR="00E92077">
        <w:rPr>
          <w:lang w:eastAsia="ja-JP"/>
        </w:rPr>
        <w:t xml:space="preserve">in a location where the </w:t>
      </w:r>
      <w:proofErr w:type="spellStart"/>
      <w:r w:rsidR="00E92077">
        <w:rPr>
          <w:lang w:eastAsia="ja-JP"/>
        </w:rPr>
        <w:t>tropopause</w:t>
      </w:r>
      <w:proofErr w:type="spellEnd"/>
      <w:r w:rsidR="00E92077">
        <w:rPr>
          <w:lang w:eastAsia="ja-JP"/>
        </w:rPr>
        <w:t xml:space="preserve"> was warm enough such that </w:t>
      </w:r>
      <w:r w:rsidR="00612003">
        <w:rPr>
          <w:lang w:eastAsia="ja-JP"/>
        </w:rPr>
        <w:t>relatively large water vapor concentrations were left behind after ice sublimation.  This pool of moist, ozone-poor air was then transported around the anticyclone into the cold air southwest of Haw</w:t>
      </w:r>
      <w:r w:rsidR="00BC14B5">
        <w:rPr>
          <w:lang w:eastAsia="ja-JP"/>
        </w:rPr>
        <w:t>a</w:t>
      </w:r>
      <w:r w:rsidR="00612003">
        <w:rPr>
          <w:lang w:eastAsia="ja-JP"/>
        </w:rPr>
        <w:t>ii, resulting in the TTL cirrus sampled by the GH.</w:t>
      </w:r>
      <w:r w:rsidR="00985B69">
        <w:rPr>
          <w:lang w:eastAsia="ja-JP"/>
        </w:rPr>
        <w:t xml:space="preserve">  This transport/cloud formation mechanism may be typical for TTL cirrus that </w:t>
      </w:r>
      <w:proofErr w:type="gramStart"/>
      <w:r w:rsidR="00985B69">
        <w:rPr>
          <w:lang w:eastAsia="ja-JP"/>
        </w:rPr>
        <w:t>occur</w:t>
      </w:r>
      <w:proofErr w:type="gramEnd"/>
      <w:r w:rsidR="00985B69">
        <w:rPr>
          <w:lang w:eastAsia="ja-JP"/>
        </w:rPr>
        <w:t xml:space="preserve"> frequently in the western Pacific.</w:t>
      </w:r>
    </w:p>
    <w:p w14:paraId="3E500133" w14:textId="77777777" w:rsidR="007C0A31" w:rsidRDefault="007C0A31" w:rsidP="00DB1EA7">
      <w:pPr>
        <w:widowControl w:val="0"/>
        <w:autoSpaceDE w:val="0"/>
        <w:autoSpaceDN w:val="0"/>
        <w:adjustRightInd w:val="0"/>
        <w:spacing w:after="240"/>
        <w:rPr>
          <w:b/>
          <w:lang w:eastAsia="ja-JP"/>
        </w:rPr>
      </w:pPr>
    </w:p>
    <w:p w14:paraId="6E1E450B" w14:textId="23D6DE2D" w:rsidR="00A96348" w:rsidRPr="000D79D1" w:rsidRDefault="00D02595" w:rsidP="00974228">
      <w:pPr>
        <w:widowControl w:val="0"/>
        <w:autoSpaceDE w:val="0"/>
        <w:autoSpaceDN w:val="0"/>
        <w:adjustRightInd w:val="0"/>
        <w:spacing w:after="240"/>
        <w:rPr>
          <w:lang w:eastAsia="ja-JP"/>
        </w:rPr>
      </w:pPr>
      <w:r>
        <w:rPr>
          <w:noProof/>
        </w:rPr>
        <w:drawing>
          <wp:inline distT="0" distB="0" distL="0" distR="0" wp14:anchorId="0516387F" wp14:editId="45F4F7F4">
            <wp:extent cx="5486019" cy="3918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watmap_20130226_13022706.eps"/>
                    <pic:cNvPicPr/>
                  </pic:nvPicPr>
                  <pic:blipFill>
                    <a:blip r:embed="rId12">
                      <a:extLst>
                        <a:ext uri="{28A0092B-C50C-407E-A947-70E740481C1C}">
                          <a14:useLocalDpi xmlns:a14="http://schemas.microsoft.com/office/drawing/2010/main" val="0"/>
                        </a:ext>
                      </a:extLst>
                    </a:blip>
                    <a:stretch>
                      <a:fillRect/>
                    </a:stretch>
                  </pic:blipFill>
                  <pic:spPr>
                    <a:xfrm>
                      <a:off x="0" y="0"/>
                      <a:ext cx="5486019" cy="3918585"/>
                    </a:xfrm>
                    <a:prstGeom prst="rect">
                      <a:avLst/>
                    </a:prstGeom>
                  </pic:spPr>
                </pic:pic>
              </a:graphicData>
            </a:graphic>
          </wp:inline>
        </w:drawing>
      </w:r>
    </w:p>
    <w:p w14:paraId="571A2320" w14:textId="39B67DFC" w:rsidR="00D02595" w:rsidRDefault="00D02595" w:rsidP="00974228">
      <w:pPr>
        <w:widowControl w:val="0"/>
        <w:autoSpaceDE w:val="0"/>
        <w:autoSpaceDN w:val="0"/>
        <w:adjustRightInd w:val="0"/>
        <w:spacing w:after="240"/>
        <w:rPr>
          <w:b/>
          <w:lang w:eastAsia="ja-JP"/>
        </w:rPr>
      </w:pPr>
      <w:r>
        <w:rPr>
          <w:b/>
          <w:noProof/>
        </w:rPr>
        <w:drawing>
          <wp:inline distT="0" distB="0" distL="0" distR="0" wp14:anchorId="290BF00F" wp14:editId="192A571D">
            <wp:extent cx="5486400" cy="324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wo3xsect_rf05.eps"/>
                    <pic:cNvPicPr/>
                  </pic:nvPicPr>
                  <pic:blipFill>
                    <a:blip r:embed="rId13">
                      <a:extLst>
                        <a:ext uri="{28A0092B-C50C-407E-A947-70E740481C1C}">
                          <a14:useLocalDpi xmlns:a14="http://schemas.microsoft.com/office/drawing/2010/main" val="0"/>
                        </a:ext>
                      </a:extLst>
                    </a:blip>
                    <a:stretch>
                      <a:fillRect/>
                    </a:stretch>
                  </pic:blipFill>
                  <pic:spPr>
                    <a:xfrm>
                      <a:off x="0" y="0"/>
                      <a:ext cx="5486400" cy="3241675"/>
                    </a:xfrm>
                    <a:prstGeom prst="rect">
                      <a:avLst/>
                    </a:prstGeom>
                  </pic:spPr>
                </pic:pic>
              </a:graphicData>
            </a:graphic>
          </wp:inline>
        </w:drawing>
      </w:r>
    </w:p>
    <w:p w14:paraId="20C273D8" w14:textId="5D718619" w:rsidR="00D02595" w:rsidRPr="005B2313" w:rsidRDefault="00E60907" w:rsidP="00974228">
      <w:pPr>
        <w:widowControl w:val="0"/>
        <w:autoSpaceDE w:val="0"/>
        <w:autoSpaceDN w:val="0"/>
        <w:adjustRightInd w:val="0"/>
        <w:spacing w:after="240"/>
        <w:rPr>
          <w:lang w:eastAsia="ja-JP"/>
        </w:rPr>
      </w:pPr>
      <w:r>
        <w:rPr>
          <w:b/>
          <w:lang w:eastAsia="ja-JP"/>
        </w:rPr>
        <w:t>Figure 8</w:t>
      </w:r>
      <w:r w:rsidR="005B2313">
        <w:rPr>
          <w:b/>
          <w:lang w:eastAsia="ja-JP"/>
        </w:rPr>
        <w:t>.</w:t>
      </w:r>
      <w:r w:rsidR="005B2313">
        <w:rPr>
          <w:lang w:eastAsia="ja-JP"/>
        </w:rPr>
        <w:t xml:space="preserve"> Top panel: RF05 (26-27 March, 2013) flight path extending into cold air in the central-western Pacific.  Bottom panel: Ozone and total water concentration are plotted versus distance along the flight track for the outbound and return section of the flight path shown in yellow in the top panel.  As the aircraft approached the </w:t>
      </w:r>
      <w:r w:rsidR="00B261B9">
        <w:rPr>
          <w:lang w:eastAsia="ja-JP"/>
        </w:rPr>
        <w:t xml:space="preserve">cold </w:t>
      </w:r>
      <w:proofErr w:type="spellStart"/>
      <w:r w:rsidR="00B261B9">
        <w:rPr>
          <w:lang w:eastAsia="ja-JP"/>
        </w:rPr>
        <w:t>tropopause</w:t>
      </w:r>
      <w:proofErr w:type="spellEnd"/>
      <w:r w:rsidR="00B261B9">
        <w:rPr>
          <w:lang w:eastAsia="ja-JP"/>
        </w:rPr>
        <w:t xml:space="preserve"> region at </w:t>
      </w:r>
      <w:r w:rsidR="005B2313">
        <w:rPr>
          <w:lang w:eastAsia="ja-JP"/>
        </w:rPr>
        <w:t xml:space="preserve">far western end of the track, </w:t>
      </w:r>
      <w:r w:rsidR="00B261B9">
        <w:rPr>
          <w:lang w:eastAsia="ja-JP"/>
        </w:rPr>
        <w:t xml:space="preserve">a layer between about 16 and 17.5 km was sampled with relatively low ozone and high ice water content, both of which suggest recent convective injection to near the </w:t>
      </w:r>
      <w:proofErr w:type="spellStart"/>
      <w:r w:rsidR="00B261B9">
        <w:rPr>
          <w:lang w:eastAsia="ja-JP"/>
        </w:rPr>
        <w:t>tropopause</w:t>
      </w:r>
      <w:proofErr w:type="spellEnd"/>
      <w:r w:rsidR="00B261B9">
        <w:rPr>
          <w:lang w:eastAsia="ja-JP"/>
        </w:rPr>
        <w:t>.</w:t>
      </w:r>
    </w:p>
    <w:p w14:paraId="5EE2EA8D" w14:textId="5A512A6E" w:rsidR="00D02595" w:rsidRPr="009720B0" w:rsidRDefault="009720B0" w:rsidP="00974228">
      <w:pPr>
        <w:widowControl w:val="0"/>
        <w:autoSpaceDE w:val="0"/>
        <w:autoSpaceDN w:val="0"/>
        <w:adjustRightInd w:val="0"/>
        <w:spacing w:after="240"/>
        <w:rPr>
          <w:color w:val="0000FF"/>
          <w:lang w:eastAsia="ja-JP"/>
        </w:rPr>
      </w:pPr>
      <w:r>
        <w:rPr>
          <w:color w:val="0000FF"/>
          <w:lang w:eastAsia="ja-JP"/>
        </w:rPr>
        <w:t>[Plot showing GWAS tracers versus potential temperature; discussion of science from combined GWAS and mini-DOAS measurements.]</w:t>
      </w:r>
    </w:p>
    <w:p w14:paraId="424D0F32" w14:textId="77777777" w:rsidR="00D02595" w:rsidRDefault="00D02595" w:rsidP="00974228">
      <w:pPr>
        <w:widowControl w:val="0"/>
        <w:autoSpaceDE w:val="0"/>
        <w:autoSpaceDN w:val="0"/>
        <w:adjustRightInd w:val="0"/>
        <w:spacing w:after="240"/>
        <w:rPr>
          <w:b/>
          <w:lang w:eastAsia="ja-JP"/>
        </w:rPr>
      </w:pPr>
    </w:p>
    <w:p w14:paraId="214CC131" w14:textId="77777777" w:rsidR="00D02595" w:rsidRDefault="00D02595" w:rsidP="00974228">
      <w:pPr>
        <w:widowControl w:val="0"/>
        <w:autoSpaceDE w:val="0"/>
        <w:autoSpaceDN w:val="0"/>
        <w:adjustRightInd w:val="0"/>
        <w:spacing w:after="240"/>
        <w:rPr>
          <w:b/>
          <w:lang w:eastAsia="ja-JP"/>
        </w:rPr>
      </w:pPr>
    </w:p>
    <w:p w14:paraId="1A4B9BB4" w14:textId="61A10C33" w:rsidR="00A96348" w:rsidRDefault="00A96348" w:rsidP="00974228">
      <w:pPr>
        <w:widowControl w:val="0"/>
        <w:autoSpaceDE w:val="0"/>
        <w:autoSpaceDN w:val="0"/>
        <w:adjustRightInd w:val="0"/>
        <w:spacing w:after="240"/>
        <w:rPr>
          <w:lang w:eastAsia="ja-JP"/>
        </w:rPr>
      </w:pPr>
      <w:r w:rsidRPr="000D79D1">
        <w:rPr>
          <w:b/>
          <w:lang w:eastAsia="ja-JP"/>
        </w:rPr>
        <w:t>Summary and Outlook</w:t>
      </w:r>
    </w:p>
    <w:p w14:paraId="190FCB88" w14:textId="1EB0ED3C" w:rsidR="008A2A3E" w:rsidRDefault="00FF2BCB" w:rsidP="00974228">
      <w:pPr>
        <w:widowControl w:val="0"/>
        <w:autoSpaceDE w:val="0"/>
        <w:autoSpaceDN w:val="0"/>
        <w:adjustRightInd w:val="0"/>
        <w:spacing w:after="240"/>
        <w:rPr>
          <w:lang w:eastAsia="ja-JP"/>
        </w:rPr>
      </w:pPr>
      <w:r>
        <w:rPr>
          <w:lang w:eastAsia="ja-JP"/>
        </w:rPr>
        <w:t xml:space="preserve">The western Pacific is a critical region to sample for understanding TTL processes.  The coldest temperatures and largest </w:t>
      </w:r>
      <w:proofErr w:type="spellStart"/>
      <w:r>
        <w:rPr>
          <w:lang w:eastAsia="ja-JP"/>
        </w:rPr>
        <w:t>radiative</w:t>
      </w:r>
      <w:proofErr w:type="spellEnd"/>
      <w:r>
        <w:rPr>
          <w:lang w:eastAsia="ja-JP"/>
        </w:rPr>
        <w:t xml:space="preserve"> heating rates occur in the western Pacific, and this region is where models predict parcels frequently experience their final dehydration before entering the stratosphere (</w:t>
      </w:r>
      <w:proofErr w:type="spellStart"/>
      <w:r w:rsidRPr="00BC14B5">
        <w:rPr>
          <w:lang w:eastAsia="ja-JP"/>
        </w:rPr>
        <w:t>Schoeberl</w:t>
      </w:r>
      <w:proofErr w:type="spellEnd"/>
      <w:r w:rsidRPr="00BC14B5">
        <w:rPr>
          <w:lang w:eastAsia="ja-JP"/>
        </w:rPr>
        <w:t xml:space="preserve"> and </w:t>
      </w:r>
      <w:proofErr w:type="spellStart"/>
      <w:r w:rsidRPr="00BC14B5">
        <w:rPr>
          <w:lang w:eastAsia="ja-JP"/>
        </w:rPr>
        <w:t>Dessler</w:t>
      </w:r>
      <w:proofErr w:type="spellEnd"/>
      <w:r>
        <w:rPr>
          <w:i/>
          <w:lang w:eastAsia="ja-JP"/>
        </w:rPr>
        <w:t>,</w:t>
      </w:r>
      <w:r>
        <w:rPr>
          <w:lang w:eastAsia="ja-JP"/>
        </w:rPr>
        <w:t xml:space="preserve"> 201x).  The next ATTREX flights are planned from Guam (13.5 N, 144.8 E), with flights in January-February for winter season data collection and then additional flights in early summer (May-June).</w:t>
      </w:r>
      <w:r w:rsidR="00E60907">
        <w:rPr>
          <w:lang w:eastAsia="ja-JP"/>
        </w:rPr>
        <w:t xml:space="preserve">  Figure 9</w:t>
      </w:r>
      <w:r w:rsidR="007A2637">
        <w:rPr>
          <w:lang w:eastAsia="ja-JP"/>
        </w:rPr>
        <w:t xml:space="preserve"> shows an example of possible GH flight plans from Guam.  The transit from DFRC</w:t>
      </w:r>
      <w:r w:rsidR="00E60907">
        <w:rPr>
          <w:lang w:eastAsia="ja-JP"/>
        </w:rPr>
        <w:t xml:space="preserve"> (orange dotted line in Figure 9</w:t>
      </w:r>
      <w:r w:rsidR="007A2637">
        <w:rPr>
          <w:lang w:eastAsia="ja-JP"/>
        </w:rPr>
        <w:t>) will provide an opportunity to fly a long constant-latitude transect for analysis of tropical waves with scales intermediate between those that can be measured with shorter-range conventional aircraft and those that can be measured with satellite instruments.</w:t>
      </w:r>
      <w:r w:rsidR="00A8472D">
        <w:rPr>
          <w:lang w:eastAsia="ja-JP"/>
        </w:rPr>
        <w:t xml:space="preserve">  The western Pacific cold pool is essentially directly overhead at </w:t>
      </w:r>
      <w:proofErr w:type="gramStart"/>
      <w:r w:rsidR="00A8472D">
        <w:rPr>
          <w:lang w:eastAsia="ja-JP"/>
        </w:rPr>
        <w:t>Guam,</w:t>
      </w:r>
      <w:proofErr w:type="gramEnd"/>
      <w:r w:rsidR="00A8472D">
        <w:rPr>
          <w:lang w:eastAsia="ja-JP"/>
        </w:rPr>
        <w:t xml:space="preserve"> therefore the full 24-hour GH flight time</w:t>
      </w:r>
      <w:r w:rsidR="00BF708C">
        <w:rPr>
          <w:lang w:eastAsia="ja-JP"/>
        </w:rPr>
        <w:t xml:space="preserve"> will be sampling the region of interest for ATTREX (in contrast to the flights from DFRC that required a 6-8 hour transit to reach the tropical region of interest).  </w:t>
      </w:r>
      <w:proofErr w:type="spellStart"/>
      <w:r w:rsidR="00A8472D">
        <w:rPr>
          <w:lang w:eastAsia="ja-JP"/>
        </w:rPr>
        <w:t>Lagrangian</w:t>
      </w:r>
      <w:proofErr w:type="spellEnd"/>
      <w:r w:rsidR="00A8472D">
        <w:rPr>
          <w:lang w:eastAsia="ja-JP"/>
        </w:rPr>
        <w:t xml:space="preserve"> flights along streamlines throug</w:t>
      </w:r>
      <w:r w:rsidR="00BF708C">
        <w:rPr>
          <w:lang w:eastAsia="ja-JP"/>
        </w:rPr>
        <w:t>h the western Pacific cold pool will be used to investigate the full lifecycle of TTL cirrus formation and its impact on the vertical profile of water vapor.</w:t>
      </w:r>
    </w:p>
    <w:p w14:paraId="6B4D85C0" w14:textId="40B328F2" w:rsidR="002110A6" w:rsidRPr="00FF2BCB" w:rsidRDefault="002110A6" w:rsidP="00974228">
      <w:pPr>
        <w:widowControl w:val="0"/>
        <w:autoSpaceDE w:val="0"/>
        <w:autoSpaceDN w:val="0"/>
        <w:adjustRightInd w:val="0"/>
        <w:spacing w:after="240"/>
        <w:rPr>
          <w:lang w:eastAsia="ja-JP"/>
        </w:rPr>
      </w:pPr>
      <w:r>
        <w:rPr>
          <w:lang w:eastAsia="ja-JP"/>
        </w:rPr>
        <w:t xml:space="preserve">The fact that </w:t>
      </w:r>
      <w:r w:rsidR="000B5F2C">
        <w:rPr>
          <w:lang w:eastAsia="ja-JP"/>
        </w:rPr>
        <w:t xml:space="preserve">the </w:t>
      </w:r>
      <w:r>
        <w:rPr>
          <w:lang w:eastAsia="ja-JP"/>
        </w:rPr>
        <w:t xml:space="preserve">ATTREX </w:t>
      </w:r>
      <w:r w:rsidR="000B5F2C">
        <w:rPr>
          <w:lang w:eastAsia="ja-JP"/>
        </w:rPr>
        <w:t xml:space="preserve">mission </w:t>
      </w:r>
      <w:r>
        <w:rPr>
          <w:lang w:eastAsia="ja-JP"/>
        </w:rPr>
        <w:t xml:space="preserve">was </w:t>
      </w:r>
      <w:r w:rsidR="000B5F2C">
        <w:rPr>
          <w:lang w:eastAsia="ja-JP"/>
        </w:rPr>
        <w:t>awarded in 2010 with the intent from the outset to have GH flights from Guam in 2014 has permitted the inception, planning, and approval of two additional aircraft campaigns that will be coordinated with AT</w:t>
      </w:r>
      <w:r w:rsidR="00186A91">
        <w:rPr>
          <w:lang w:eastAsia="ja-JP"/>
        </w:rPr>
        <w:t xml:space="preserve">TREX.  The United Kingdom Co-ordinated Airborne Studies of the Tropics (CAST) program will bring the FAAM BAe-146 aircraft to Guam, with a payload focused on measurements of tracers and halocarbons.  The BAe-146 flights will be primarily used to survey the chemical composition of the boundary layer and lower free troposphere south of Guam down to the ITCZ.  The National Science Foundation </w:t>
      </w:r>
      <w:r w:rsidR="00721121">
        <w:rPr>
          <w:lang w:eastAsia="ja-JP"/>
        </w:rPr>
        <w:t xml:space="preserve">(NSF) </w:t>
      </w:r>
      <w:r w:rsidR="00186A91">
        <w:rPr>
          <w:lang w:eastAsia="ja-JP"/>
        </w:rPr>
        <w:t xml:space="preserve">Convective Transport of Active Species in the Tropics (CONTRAST) program will bring the </w:t>
      </w:r>
      <w:r w:rsidR="00721121">
        <w:rPr>
          <w:lang w:eastAsia="ja-JP"/>
        </w:rPr>
        <w:t xml:space="preserve">NSF GV aircraft to Guam.  The GV payload includes instruments measuring a number of the same tracers measured the CAST and ATTREX instruments on the BAe-146 and GH.   The GV sampling will focus on </w:t>
      </w:r>
      <w:r w:rsidR="00E846E5">
        <w:rPr>
          <w:lang w:eastAsia="ja-JP"/>
        </w:rPr>
        <w:t xml:space="preserve">characterizing the chemical composition and ozone photochemical budget in </w:t>
      </w:r>
      <w:r w:rsidR="00721121">
        <w:rPr>
          <w:lang w:eastAsia="ja-JP"/>
        </w:rPr>
        <w:t xml:space="preserve">the </w:t>
      </w:r>
      <w:r w:rsidR="00E846E5">
        <w:rPr>
          <w:lang w:eastAsia="ja-JP"/>
        </w:rPr>
        <w:t>primary deep convection detrainment</w:t>
      </w:r>
      <w:r w:rsidR="00721121">
        <w:rPr>
          <w:lang w:eastAsia="ja-JP"/>
        </w:rPr>
        <w:t xml:space="preserve"> altitude range (about 10 km up to the GV ceiling of about 15 km).  Stacked flights with the three aircraft will provide measurements from the surface up to the stratosphere.</w:t>
      </w:r>
    </w:p>
    <w:p w14:paraId="0CB72FEF" w14:textId="77777777" w:rsidR="00A30DB1" w:rsidRDefault="00A30DB1" w:rsidP="00A30DB1">
      <w:pPr>
        <w:widowControl w:val="0"/>
        <w:autoSpaceDE w:val="0"/>
        <w:autoSpaceDN w:val="0"/>
        <w:adjustRightInd w:val="0"/>
        <w:spacing w:after="240"/>
        <w:rPr>
          <w:b/>
          <w:lang w:eastAsia="ja-JP"/>
        </w:rPr>
      </w:pPr>
      <w:r w:rsidRPr="00A30DB1">
        <w:rPr>
          <w:noProof/>
        </w:rPr>
        <w:drawing>
          <wp:inline distT="0" distB="0" distL="0" distR="0" wp14:anchorId="3A5CF3E1" wp14:editId="0107E28A">
            <wp:extent cx="5486019" cy="39185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LSWV_06_d1-31_tv_gmt2tracks_new_not.eps"/>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019" cy="3918585"/>
                    </a:xfrm>
                    <a:prstGeom prst="rect">
                      <a:avLst/>
                    </a:prstGeom>
                  </pic:spPr>
                </pic:pic>
              </a:graphicData>
            </a:graphic>
          </wp:inline>
        </w:drawing>
      </w:r>
      <w:r w:rsidRPr="00A30DB1">
        <w:rPr>
          <w:b/>
          <w:lang w:eastAsia="ja-JP"/>
        </w:rPr>
        <w:t xml:space="preserve"> </w:t>
      </w:r>
    </w:p>
    <w:p w14:paraId="6ABEF75E" w14:textId="488321A5" w:rsidR="00A30DB1" w:rsidRPr="00BD7902" w:rsidRDefault="00707B32" w:rsidP="00A30DB1">
      <w:pPr>
        <w:widowControl w:val="0"/>
        <w:autoSpaceDE w:val="0"/>
        <w:autoSpaceDN w:val="0"/>
        <w:adjustRightInd w:val="0"/>
        <w:spacing w:after="240"/>
        <w:rPr>
          <w:lang w:eastAsia="ja-JP"/>
        </w:rPr>
      </w:pPr>
      <w:r>
        <w:rPr>
          <w:b/>
          <w:lang w:eastAsia="ja-JP"/>
        </w:rPr>
        <w:t>Figure 8</w:t>
      </w:r>
      <w:r w:rsidR="00A30DB1">
        <w:rPr>
          <w:b/>
          <w:lang w:eastAsia="ja-JP"/>
        </w:rPr>
        <w:t>.</w:t>
      </w:r>
      <w:r w:rsidR="00A30DB1">
        <w:rPr>
          <w:lang w:eastAsia="ja-JP"/>
        </w:rPr>
        <w:t xml:space="preserve">  Hypothetical paths for 2014 ATTREX </w:t>
      </w:r>
      <w:r w:rsidR="00714FCE">
        <w:rPr>
          <w:lang w:eastAsia="ja-JP"/>
        </w:rPr>
        <w:t xml:space="preserve">Global Hawk </w:t>
      </w:r>
      <w:r w:rsidR="00A30DB1">
        <w:rPr>
          <w:lang w:eastAsia="ja-JP"/>
        </w:rPr>
        <w:t>flights from Guam.</w:t>
      </w:r>
    </w:p>
    <w:p w14:paraId="66D53193" w14:textId="758427F3" w:rsidR="00974228" w:rsidRPr="0022561B" w:rsidRDefault="00A53826">
      <w:pPr>
        <w:rPr>
          <w:color w:val="0000FF"/>
        </w:rPr>
      </w:pPr>
      <w:r>
        <w:t xml:space="preserve">As with all NASA science missions, the final archived data from ATTREX </w:t>
      </w:r>
      <w:r w:rsidR="0022561B">
        <w:t xml:space="preserve">(due 21 months after each flight series) </w:t>
      </w:r>
      <w:r>
        <w:t>becomes public immediatel</w:t>
      </w:r>
      <w:r w:rsidR="0022561B">
        <w:t xml:space="preserve">y.  Data from the 2011 ATTREX flight series is publicly available on the Earth Science Project Office archive (espoarchive.nasa.gov).  We are hopeful that the ATTREX dataset will be useful for evaluating and improving representations of TTL composition and physical processes in global models.  </w:t>
      </w:r>
      <w:r w:rsidR="0022561B">
        <w:rPr>
          <w:color w:val="0000FF"/>
        </w:rPr>
        <w:t>[Elaborate with specific reference to activities such as CCMI.]</w:t>
      </w:r>
    </w:p>
    <w:sectPr w:rsidR="00974228" w:rsidRPr="0022561B" w:rsidSect="004B769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D84"/>
    <w:rsid w:val="00020BE7"/>
    <w:rsid w:val="00045E5D"/>
    <w:rsid w:val="000519F3"/>
    <w:rsid w:val="000928D0"/>
    <w:rsid w:val="000A0A47"/>
    <w:rsid w:val="000B5F2C"/>
    <w:rsid w:val="000C5BCE"/>
    <w:rsid w:val="000D79D1"/>
    <w:rsid w:val="000F1A5D"/>
    <w:rsid w:val="00112F4D"/>
    <w:rsid w:val="001219E7"/>
    <w:rsid w:val="00180EB2"/>
    <w:rsid w:val="00186A91"/>
    <w:rsid w:val="0019733E"/>
    <w:rsid w:val="001A7E97"/>
    <w:rsid w:val="002013FA"/>
    <w:rsid w:val="002110A6"/>
    <w:rsid w:val="0022561B"/>
    <w:rsid w:val="0025366C"/>
    <w:rsid w:val="00267058"/>
    <w:rsid w:val="00270235"/>
    <w:rsid w:val="00272673"/>
    <w:rsid w:val="002C6B25"/>
    <w:rsid w:val="003505E9"/>
    <w:rsid w:val="003677EA"/>
    <w:rsid w:val="0038490C"/>
    <w:rsid w:val="003C28C9"/>
    <w:rsid w:val="003F2FCA"/>
    <w:rsid w:val="004063C9"/>
    <w:rsid w:val="00410B56"/>
    <w:rsid w:val="004277DC"/>
    <w:rsid w:val="00436149"/>
    <w:rsid w:val="00437D81"/>
    <w:rsid w:val="0044076B"/>
    <w:rsid w:val="00451B68"/>
    <w:rsid w:val="00451D84"/>
    <w:rsid w:val="00470F54"/>
    <w:rsid w:val="004B6919"/>
    <w:rsid w:val="004B769C"/>
    <w:rsid w:val="004E59BE"/>
    <w:rsid w:val="00504F2E"/>
    <w:rsid w:val="00506450"/>
    <w:rsid w:val="00522B6E"/>
    <w:rsid w:val="00522C2B"/>
    <w:rsid w:val="005259BF"/>
    <w:rsid w:val="005427AC"/>
    <w:rsid w:val="0056034E"/>
    <w:rsid w:val="00561DCB"/>
    <w:rsid w:val="00574810"/>
    <w:rsid w:val="005A161C"/>
    <w:rsid w:val="005B2313"/>
    <w:rsid w:val="005C5CBD"/>
    <w:rsid w:val="005C656D"/>
    <w:rsid w:val="005D525F"/>
    <w:rsid w:val="00605B6D"/>
    <w:rsid w:val="00612003"/>
    <w:rsid w:val="0062584B"/>
    <w:rsid w:val="00627453"/>
    <w:rsid w:val="00655C1A"/>
    <w:rsid w:val="006735D9"/>
    <w:rsid w:val="00685D14"/>
    <w:rsid w:val="00697A3F"/>
    <w:rsid w:val="006A7715"/>
    <w:rsid w:val="006D0252"/>
    <w:rsid w:val="006D70F6"/>
    <w:rsid w:val="006E2F12"/>
    <w:rsid w:val="006F6313"/>
    <w:rsid w:val="00707B32"/>
    <w:rsid w:val="00714078"/>
    <w:rsid w:val="00714FCE"/>
    <w:rsid w:val="00715E09"/>
    <w:rsid w:val="00721121"/>
    <w:rsid w:val="00753400"/>
    <w:rsid w:val="00765893"/>
    <w:rsid w:val="007A2637"/>
    <w:rsid w:val="007B7803"/>
    <w:rsid w:val="007C0A31"/>
    <w:rsid w:val="007D5763"/>
    <w:rsid w:val="008336C9"/>
    <w:rsid w:val="00844340"/>
    <w:rsid w:val="0084526E"/>
    <w:rsid w:val="00895E50"/>
    <w:rsid w:val="008A263F"/>
    <w:rsid w:val="008A2A3E"/>
    <w:rsid w:val="008F673E"/>
    <w:rsid w:val="008F7985"/>
    <w:rsid w:val="00923BED"/>
    <w:rsid w:val="00923E92"/>
    <w:rsid w:val="00953498"/>
    <w:rsid w:val="009720B0"/>
    <w:rsid w:val="00974228"/>
    <w:rsid w:val="00985B69"/>
    <w:rsid w:val="00A0391E"/>
    <w:rsid w:val="00A12646"/>
    <w:rsid w:val="00A25A0F"/>
    <w:rsid w:val="00A2621F"/>
    <w:rsid w:val="00A30DB1"/>
    <w:rsid w:val="00A41164"/>
    <w:rsid w:val="00A44F22"/>
    <w:rsid w:val="00A53826"/>
    <w:rsid w:val="00A8472D"/>
    <w:rsid w:val="00A96348"/>
    <w:rsid w:val="00AA20A6"/>
    <w:rsid w:val="00AF34E8"/>
    <w:rsid w:val="00B176A9"/>
    <w:rsid w:val="00B261B9"/>
    <w:rsid w:val="00B3062E"/>
    <w:rsid w:val="00B35A18"/>
    <w:rsid w:val="00B40811"/>
    <w:rsid w:val="00B45D9E"/>
    <w:rsid w:val="00B54576"/>
    <w:rsid w:val="00B57268"/>
    <w:rsid w:val="00B9574C"/>
    <w:rsid w:val="00BA33CE"/>
    <w:rsid w:val="00BC14B5"/>
    <w:rsid w:val="00BD7902"/>
    <w:rsid w:val="00BF4229"/>
    <w:rsid w:val="00BF51CE"/>
    <w:rsid w:val="00BF708C"/>
    <w:rsid w:val="00C14177"/>
    <w:rsid w:val="00C26281"/>
    <w:rsid w:val="00C4209B"/>
    <w:rsid w:val="00C450E1"/>
    <w:rsid w:val="00C52E02"/>
    <w:rsid w:val="00C55153"/>
    <w:rsid w:val="00C742FF"/>
    <w:rsid w:val="00C80662"/>
    <w:rsid w:val="00C86A62"/>
    <w:rsid w:val="00C9446B"/>
    <w:rsid w:val="00CB193D"/>
    <w:rsid w:val="00CC081D"/>
    <w:rsid w:val="00CC3EEE"/>
    <w:rsid w:val="00CE59CF"/>
    <w:rsid w:val="00D02595"/>
    <w:rsid w:val="00D32ED3"/>
    <w:rsid w:val="00D47EA7"/>
    <w:rsid w:val="00D65E7F"/>
    <w:rsid w:val="00D728FE"/>
    <w:rsid w:val="00D864A3"/>
    <w:rsid w:val="00DB0E85"/>
    <w:rsid w:val="00DB1EA7"/>
    <w:rsid w:val="00DF7412"/>
    <w:rsid w:val="00E03250"/>
    <w:rsid w:val="00E1221A"/>
    <w:rsid w:val="00E16E37"/>
    <w:rsid w:val="00E47847"/>
    <w:rsid w:val="00E60907"/>
    <w:rsid w:val="00E71BF1"/>
    <w:rsid w:val="00E844BF"/>
    <w:rsid w:val="00E846E5"/>
    <w:rsid w:val="00E85E4C"/>
    <w:rsid w:val="00E92077"/>
    <w:rsid w:val="00E9346A"/>
    <w:rsid w:val="00EC214A"/>
    <w:rsid w:val="00EF065A"/>
    <w:rsid w:val="00F11436"/>
    <w:rsid w:val="00F91E86"/>
    <w:rsid w:val="00FA3D30"/>
    <w:rsid w:val="00FB2314"/>
    <w:rsid w:val="00FE0595"/>
    <w:rsid w:val="00FE6B10"/>
    <w:rsid w:val="00FE7D0D"/>
    <w:rsid w:val="00FF2BCB"/>
    <w:rsid w:val="00FF7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A27BF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B68"/>
    <w:rPr>
      <w:rFonts w:ascii="Lucida Grande" w:hAnsi="Lucida Grande"/>
      <w:sz w:val="18"/>
      <w:szCs w:val="18"/>
    </w:rPr>
  </w:style>
  <w:style w:type="character" w:customStyle="1" w:styleId="BalloonTextChar">
    <w:name w:val="Balloon Text Char"/>
    <w:basedOn w:val="DefaultParagraphFont"/>
    <w:link w:val="BalloonText"/>
    <w:uiPriority w:val="99"/>
    <w:semiHidden/>
    <w:rsid w:val="00451B68"/>
    <w:rPr>
      <w:rFonts w:ascii="Lucida Grande" w:hAnsi="Lucida Grande"/>
      <w:sz w:val="18"/>
      <w:szCs w:val="18"/>
      <w:lang w:eastAsia="en-US"/>
    </w:rPr>
  </w:style>
  <w:style w:type="table" w:styleId="TableGrid">
    <w:name w:val="Table Grid"/>
    <w:basedOn w:val="TableNormal"/>
    <w:uiPriority w:val="59"/>
    <w:rsid w:val="002726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B68"/>
    <w:rPr>
      <w:rFonts w:ascii="Lucida Grande" w:hAnsi="Lucida Grande"/>
      <w:sz w:val="18"/>
      <w:szCs w:val="18"/>
    </w:rPr>
  </w:style>
  <w:style w:type="character" w:customStyle="1" w:styleId="BalloonTextChar">
    <w:name w:val="Balloon Text Char"/>
    <w:basedOn w:val="DefaultParagraphFont"/>
    <w:link w:val="BalloonText"/>
    <w:uiPriority w:val="99"/>
    <w:semiHidden/>
    <w:rsid w:val="00451B68"/>
    <w:rPr>
      <w:rFonts w:ascii="Lucida Grande" w:hAnsi="Lucida Grande"/>
      <w:sz w:val="18"/>
      <w:szCs w:val="18"/>
      <w:lang w:eastAsia="en-US"/>
    </w:rPr>
  </w:style>
  <w:style w:type="table" w:styleId="TableGrid">
    <w:name w:val="Table Grid"/>
    <w:basedOn w:val="TableNormal"/>
    <w:uiPriority w:val="59"/>
    <w:rsid w:val="002726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1033</TotalTime>
  <Pages>16</Pages>
  <Words>4132</Words>
  <Characters>23556</Characters>
  <Application>Microsoft Macintosh Word</Application>
  <DocSecurity>0</DocSecurity>
  <Lines>196</Lines>
  <Paragraphs>55</Paragraphs>
  <ScaleCrop>false</ScaleCrop>
  <Company/>
  <LinksUpToDate>false</LinksUpToDate>
  <CharactersWithSpaces>27633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Eric</cp:lastModifiedBy>
  <cp:revision>69</cp:revision>
  <cp:lastPrinted>2013-05-22T14:50:00Z</cp:lastPrinted>
  <dcterms:created xsi:type="dcterms:W3CDTF">2013-05-03T20:26:00Z</dcterms:created>
  <dcterms:modified xsi:type="dcterms:W3CDTF">2013-05-22T17:32:00Z</dcterms:modified>
</cp:coreProperties>
</file>